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noProof/>
          <w:lang w:eastAsia="en-GB"/>
        </w:rPr>
        <w:drawing>
          <wp:inline distT="0" distB="0" distL="0" distR="0" wp14:anchorId="3A4112DC" wp14:editId="55DAD3D7">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355803A" w:rsidR="00333FAA" w:rsidRPr="005E3A10" w:rsidRDefault="00052320" w:rsidP="00214849">
            <w:pPr>
              <w:spacing w:before="120"/>
              <w:rPr>
                <w:rFonts w:cs="Arial"/>
                <w:szCs w:val="24"/>
              </w:rPr>
            </w:pPr>
            <w:r>
              <w:rPr>
                <w:rFonts w:cs="Arial"/>
                <w:szCs w:val="24"/>
              </w:rPr>
              <w:t>27 May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1D256255" w:rsidR="00333FAA" w:rsidRPr="005E3A10" w:rsidRDefault="00052320" w:rsidP="00AC6412">
            <w:pPr>
              <w:spacing w:before="120" w:after="240"/>
              <w:rPr>
                <w:rFonts w:cs="Arial"/>
                <w:szCs w:val="24"/>
              </w:rPr>
            </w:pPr>
            <w:r>
              <w:rPr>
                <w:rFonts w:cs="Arial"/>
                <w:szCs w:val="24"/>
              </w:rPr>
              <w:t>W</w:t>
            </w:r>
            <w:r w:rsidR="00421DC1">
              <w:rPr>
                <w:rFonts w:cs="Arial"/>
                <w:szCs w:val="24"/>
              </w:rPr>
              <w:t xml:space="preserve">est </w:t>
            </w:r>
            <w:r>
              <w:rPr>
                <w:rFonts w:cs="Arial"/>
                <w:szCs w:val="24"/>
              </w:rPr>
              <w:t>L</w:t>
            </w:r>
            <w:r w:rsidR="00421DC1">
              <w:rPr>
                <w:rFonts w:cs="Arial"/>
                <w:szCs w:val="24"/>
              </w:rPr>
              <w:t xml:space="preserve">ondon </w:t>
            </w:r>
            <w:r>
              <w:rPr>
                <w:rFonts w:cs="Arial"/>
                <w:szCs w:val="24"/>
              </w:rPr>
              <w:t>W</w:t>
            </w:r>
            <w:r w:rsidR="00421DC1">
              <w:rPr>
                <w:rFonts w:cs="Arial"/>
                <w:szCs w:val="24"/>
              </w:rPr>
              <w:t xml:space="preserve">aste </w:t>
            </w:r>
            <w:r>
              <w:rPr>
                <w:rFonts w:cs="Arial"/>
                <w:szCs w:val="24"/>
              </w:rPr>
              <w:t>A</w:t>
            </w:r>
            <w:r w:rsidR="00421DC1">
              <w:rPr>
                <w:rFonts w:cs="Arial"/>
                <w:szCs w:val="24"/>
              </w:rPr>
              <w:t>uthority</w:t>
            </w:r>
            <w:r>
              <w:rPr>
                <w:rFonts w:cs="Arial"/>
                <w:szCs w:val="24"/>
              </w:rPr>
              <w:t xml:space="preserve"> Food Waste Funding</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69388B9" w14:textId="10BDBA53" w:rsidR="001C7E35" w:rsidRPr="00052320" w:rsidRDefault="001C7E35" w:rsidP="001C7E35">
            <w:pPr>
              <w:pStyle w:val="Infotext"/>
              <w:rPr>
                <w:rFonts w:cs="Arial"/>
                <w:sz w:val="24"/>
                <w:szCs w:val="24"/>
              </w:rPr>
            </w:pPr>
            <w:r w:rsidRPr="005E3A10">
              <w:rPr>
                <w:rFonts w:cs="Arial"/>
                <w:sz w:val="24"/>
                <w:szCs w:val="24"/>
              </w:rPr>
              <w:t>Yes</w:t>
            </w:r>
            <w:r w:rsidR="006E4564">
              <w:rPr>
                <w:rFonts w:cs="Arial"/>
                <w:sz w:val="24"/>
                <w:szCs w:val="24"/>
              </w:rPr>
              <w:t xml:space="preserve"> - g</w:t>
            </w:r>
            <w:r w:rsidR="006751F1">
              <w:rPr>
                <w:rFonts w:cs="Arial"/>
                <w:sz w:val="24"/>
                <w:szCs w:val="24"/>
              </w:rPr>
              <w:t>rant f</w:t>
            </w:r>
            <w:r w:rsidR="00D3458C" w:rsidRPr="00052320">
              <w:rPr>
                <w:rFonts w:cs="Arial"/>
                <w:sz w:val="24"/>
                <w:szCs w:val="24"/>
              </w:rPr>
              <w:t>unding of £500k</w:t>
            </w:r>
          </w:p>
          <w:p w14:paraId="3EADF2B3" w14:textId="77777777" w:rsidR="00333FAA" w:rsidRPr="005E3A10" w:rsidRDefault="00333FAA" w:rsidP="00052320">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31F4B99B" w:rsidR="001C7E35" w:rsidRPr="005E3A10" w:rsidRDefault="00D3458C" w:rsidP="00D835CF">
            <w:pPr>
              <w:pStyle w:val="Infotext"/>
              <w:rPr>
                <w:rFonts w:cs="Arial"/>
                <w:sz w:val="24"/>
                <w:szCs w:val="24"/>
              </w:rPr>
            </w:pPr>
            <w:r>
              <w:rPr>
                <w:rFonts w:cs="Arial"/>
                <w:sz w:val="24"/>
                <w:szCs w:val="24"/>
              </w:rPr>
              <w:t>Michael Butler – Director of Environmental Services</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190BF8" w:rsidRDefault="001C7E35" w:rsidP="00C869F3">
            <w:pPr>
              <w:pStyle w:val="Infotext"/>
              <w:spacing w:after="240"/>
              <w:rPr>
                <w:rFonts w:ascii="Arial Black" w:hAnsi="Arial Black"/>
              </w:rPr>
            </w:pPr>
            <w:r w:rsidRPr="00190BF8">
              <w:rPr>
                <w:rFonts w:ascii="Arial Black" w:hAnsi="Arial Black"/>
              </w:rPr>
              <w:t>Portfolio Holder:</w:t>
            </w:r>
          </w:p>
        </w:tc>
        <w:tc>
          <w:tcPr>
            <w:tcW w:w="5054" w:type="dxa"/>
          </w:tcPr>
          <w:p w14:paraId="39A9A01A" w14:textId="51EB735F" w:rsidR="001C7E35" w:rsidRPr="00190BF8" w:rsidRDefault="00D3458C" w:rsidP="007A2A57">
            <w:pPr>
              <w:pStyle w:val="Infotext"/>
              <w:spacing w:before="120"/>
              <w:rPr>
                <w:rFonts w:cs="Arial"/>
                <w:color w:val="FF0000"/>
                <w:sz w:val="24"/>
                <w:szCs w:val="24"/>
              </w:rPr>
            </w:pPr>
            <w:r w:rsidRPr="00190BF8">
              <w:rPr>
                <w:rFonts w:cs="Arial"/>
                <w:sz w:val="24"/>
                <w:szCs w:val="24"/>
              </w:rPr>
              <w:t xml:space="preserve">Cllr Varsha Parmar </w:t>
            </w:r>
            <w:r w:rsidR="00C257B5">
              <w:rPr>
                <w:rFonts w:cs="Arial"/>
                <w:sz w:val="24"/>
                <w:szCs w:val="24"/>
              </w:rPr>
              <w:t>–</w:t>
            </w:r>
            <w:r w:rsidRPr="00190BF8">
              <w:rPr>
                <w:rFonts w:cs="Arial"/>
                <w:sz w:val="24"/>
                <w:szCs w:val="24"/>
              </w:rPr>
              <w:t xml:space="preserve"> </w:t>
            </w:r>
            <w:r w:rsidRPr="00F80506">
              <w:rPr>
                <w:rFonts w:cs="Arial"/>
                <w:sz w:val="24"/>
                <w:szCs w:val="24"/>
              </w:rPr>
              <w:t>Environment</w:t>
            </w:r>
            <w:r w:rsidR="00C257B5" w:rsidRPr="00F80506">
              <w:rPr>
                <w:rFonts w:cs="Arial"/>
                <w:sz w:val="24"/>
                <w:szCs w:val="24"/>
              </w:rPr>
              <w:t xml:space="preserve"> </w:t>
            </w:r>
            <w:r w:rsidR="006B2AE2" w:rsidRPr="00F80506">
              <w:rPr>
                <w:rFonts w:cs="Arial"/>
                <w:sz w:val="24"/>
                <w:szCs w:val="24"/>
              </w:rPr>
              <w:t>and Climate Cha</w:t>
            </w:r>
            <w:r w:rsidR="00F80506" w:rsidRPr="00F80506">
              <w:rPr>
                <w:rFonts w:cs="Arial"/>
                <w:sz w:val="24"/>
                <w:szCs w:val="24"/>
              </w:rPr>
              <w:t>n</w:t>
            </w:r>
            <w:r w:rsidR="006B2AE2" w:rsidRPr="00F80506">
              <w:rPr>
                <w:rFonts w:cs="Arial"/>
                <w:sz w:val="24"/>
                <w:szCs w:val="24"/>
              </w:rPr>
              <w:t>ge</w:t>
            </w: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47D5EFD3" w14:textId="4DF4DF4C" w:rsidR="001C7E35" w:rsidRPr="00214849" w:rsidRDefault="001C7E35" w:rsidP="00214849">
            <w:pPr>
              <w:pStyle w:val="Infotext"/>
              <w:spacing w:before="120"/>
              <w:rPr>
                <w:rFonts w:cs="Arial"/>
                <w:sz w:val="24"/>
                <w:szCs w:val="24"/>
              </w:rPr>
            </w:pPr>
            <w:r w:rsidRPr="005E3A10">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CBA1ED8" w:rsidR="00714BEE" w:rsidRPr="00214849" w:rsidRDefault="001C7E35" w:rsidP="00214849">
            <w:pPr>
              <w:pStyle w:val="Infotext"/>
              <w:spacing w:before="120"/>
              <w:rPr>
                <w:rFonts w:cs="Arial"/>
                <w:sz w:val="24"/>
                <w:szCs w:val="24"/>
              </w:rPr>
            </w:pPr>
            <w:r w:rsidRPr="005E3A10">
              <w:rPr>
                <w:rFonts w:cs="Arial"/>
                <w:sz w:val="24"/>
                <w:szCs w:val="24"/>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7A770E0D" w14:textId="77777777" w:rsidR="00307F76" w:rsidRDefault="002C7BCE" w:rsidP="00D835CF">
            <w:pPr>
              <w:rPr>
                <w:rFonts w:cs="Arial"/>
                <w:bCs/>
                <w:szCs w:val="24"/>
              </w:rPr>
            </w:pPr>
            <w:r w:rsidRPr="002C7BCE">
              <w:rPr>
                <w:rFonts w:cs="Arial"/>
                <w:bCs/>
                <w:szCs w:val="24"/>
              </w:rPr>
              <w:t>Potential for all wards due to prevalence of communal properties across the Borough</w:t>
            </w:r>
          </w:p>
          <w:p w14:paraId="52E38AE7" w14:textId="1D204801" w:rsidR="002C7BCE" w:rsidRPr="002C7BCE" w:rsidRDefault="002C7BCE" w:rsidP="00D835CF">
            <w:pPr>
              <w:rPr>
                <w:rFonts w:cs="Arial"/>
                <w:bCs/>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7CACDBF2" w:rsidR="001C7E35" w:rsidRPr="005E3A10" w:rsidRDefault="006E4C75" w:rsidP="00DB6C3D">
            <w:pPr>
              <w:pStyle w:val="Infotext"/>
              <w:rPr>
                <w:color w:val="FF0000"/>
                <w:sz w:val="24"/>
                <w:szCs w:val="24"/>
              </w:rPr>
            </w:pPr>
            <w:r w:rsidRPr="006E4C75">
              <w:rPr>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3B3B36">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3B3B36">
        <w:tc>
          <w:tcPr>
            <w:tcW w:w="8525" w:type="dxa"/>
          </w:tcPr>
          <w:p w14:paraId="4F6F76A4" w14:textId="03B47349" w:rsidR="001C7E35" w:rsidRDefault="001C7E35" w:rsidP="00605A4C">
            <w:pPr>
              <w:rPr>
                <w:color w:val="0000FF"/>
              </w:rPr>
            </w:pPr>
            <w:r w:rsidRPr="00FE3D32">
              <w:t>This report sets out</w:t>
            </w:r>
            <w:r w:rsidR="00DB6C3D" w:rsidRPr="00FE3D32">
              <w:t xml:space="preserve"> </w:t>
            </w:r>
            <w:r w:rsidR="00D3458C" w:rsidRPr="00FE3D32">
              <w:t xml:space="preserve">information on the project in relation to the </w:t>
            </w:r>
            <w:r w:rsidR="00D377C1">
              <w:t xml:space="preserve">grant </w:t>
            </w:r>
            <w:r w:rsidR="00D3458C" w:rsidRPr="00FE3D32">
              <w:t xml:space="preserve">funding received by London Borough of Harrow </w:t>
            </w:r>
            <w:r w:rsidR="00D377C1">
              <w:t>from</w:t>
            </w:r>
            <w:r w:rsidR="00D3458C" w:rsidRPr="00FE3D32">
              <w:t xml:space="preserve"> West London Waste Authority (WLWA) for increasing food waste recycling and encouraging food waste min</w:t>
            </w:r>
            <w:r w:rsidR="00FE3D32" w:rsidRPr="00FE3D32">
              <w:t>i</w:t>
            </w:r>
            <w:r w:rsidR="00D3458C" w:rsidRPr="00FE3D32">
              <w:t>misati</w:t>
            </w:r>
            <w:r w:rsidR="00FE3D32">
              <w:t>on.</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48896EC7" w:rsidR="001C7E35" w:rsidRDefault="001C7E35" w:rsidP="00605A4C">
            <w:r>
              <w:t>Cabinet is requested to:</w:t>
            </w:r>
          </w:p>
          <w:p w14:paraId="61EEE95E" w14:textId="0F951C6F" w:rsidR="00D377C1" w:rsidRDefault="00D3458C" w:rsidP="00271ABA">
            <w:pPr>
              <w:pStyle w:val="ListParagraph"/>
              <w:numPr>
                <w:ilvl w:val="0"/>
                <w:numId w:val="7"/>
              </w:numPr>
            </w:pPr>
            <w:r>
              <w:t>Approve notification of the project and planned spend of the funding grant received from WLWA</w:t>
            </w:r>
          </w:p>
          <w:p w14:paraId="23DEA240" w14:textId="3E9A879C" w:rsidR="00D3458C" w:rsidRPr="00BB17EB" w:rsidRDefault="00B919E6" w:rsidP="00271ABA">
            <w:pPr>
              <w:pStyle w:val="ListParagraph"/>
              <w:numPr>
                <w:ilvl w:val="0"/>
                <w:numId w:val="7"/>
              </w:numPr>
            </w:pPr>
            <w:r w:rsidRPr="008A02D5">
              <w:t>Deleg</w:t>
            </w:r>
            <w:r>
              <w:t xml:space="preserve">ate </w:t>
            </w:r>
            <w:r w:rsidRPr="008A02D5">
              <w:t xml:space="preserve">authority </w:t>
            </w:r>
            <w:r w:rsidR="003B7F30">
              <w:t xml:space="preserve">to the </w:t>
            </w:r>
            <w:r w:rsidRPr="0098609C">
              <w:t>Director of Environmental Services</w:t>
            </w:r>
            <w:r w:rsidR="00F509A1">
              <w:t>,</w:t>
            </w:r>
            <w:r w:rsidRPr="0098609C">
              <w:t xml:space="preserve"> </w:t>
            </w:r>
            <w:r w:rsidR="003B7F30">
              <w:t>f</w:t>
            </w:r>
            <w:r w:rsidR="00462305" w:rsidRPr="00BB17EB">
              <w:t xml:space="preserve">ollowing consultation with the </w:t>
            </w:r>
            <w:r w:rsidR="00C86702" w:rsidRPr="00BB17EB">
              <w:t xml:space="preserve">Director of Finance, </w:t>
            </w:r>
            <w:r w:rsidR="00462305" w:rsidRPr="0065471F">
              <w:t>Portfolio Holder</w:t>
            </w:r>
            <w:r w:rsidR="00D377C1" w:rsidRPr="00B3621C">
              <w:t xml:space="preserve"> </w:t>
            </w:r>
            <w:r w:rsidR="004D51C6" w:rsidRPr="008A02D5">
              <w:t>for</w:t>
            </w:r>
            <w:r w:rsidR="0023285C" w:rsidRPr="008A02D5">
              <w:t xml:space="preserve"> </w:t>
            </w:r>
            <w:r w:rsidR="00D377C1" w:rsidRPr="008A02D5">
              <w:t>Environment</w:t>
            </w:r>
            <w:r w:rsidR="0023285C" w:rsidRPr="0098609C">
              <w:t xml:space="preserve"> and Climate Cha</w:t>
            </w:r>
            <w:r w:rsidR="008F40FA">
              <w:t>n</w:t>
            </w:r>
            <w:r w:rsidR="0023285C" w:rsidRPr="0098609C">
              <w:t>ge</w:t>
            </w:r>
            <w:r w:rsidR="00C86702" w:rsidRPr="0098609C">
              <w:t xml:space="preserve"> and the Portfolio Holder for Finance and Resources</w:t>
            </w:r>
            <w:r w:rsidR="00A37973">
              <w:t>,</w:t>
            </w:r>
            <w:r w:rsidR="00777792">
              <w:t xml:space="preserve"> </w:t>
            </w:r>
            <w:r w:rsidR="00D81CF4">
              <w:t xml:space="preserve">to spend the funding as </w:t>
            </w:r>
            <w:r w:rsidR="000625B8">
              <w:t xml:space="preserve">required </w:t>
            </w:r>
            <w:r w:rsidR="006B0457">
              <w:t>under the terms of the grant.</w:t>
            </w:r>
          </w:p>
          <w:p w14:paraId="41F11F79" w14:textId="49513494" w:rsidR="006751F1" w:rsidRPr="00BB17EB" w:rsidRDefault="006751F1" w:rsidP="00271ABA">
            <w:pPr>
              <w:pStyle w:val="ListParagraph"/>
              <w:numPr>
                <w:ilvl w:val="0"/>
                <w:numId w:val="7"/>
              </w:numPr>
            </w:pPr>
            <w:r w:rsidRPr="00BB17EB">
              <w:lastRenderedPageBreak/>
              <w:t xml:space="preserve">Approve </w:t>
            </w:r>
            <w:r w:rsidR="00C1024F">
              <w:t xml:space="preserve">an </w:t>
            </w:r>
            <w:r w:rsidRPr="00BB17EB">
              <w:t xml:space="preserve">increase </w:t>
            </w:r>
            <w:r w:rsidR="00C227B1">
              <w:t xml:space="preserve">to </w:t>
            </w:r>
            <w:r w:rsidRPr="00BB17EB">
              <w:t xml:space="preserve">the </w:t>
            </w:r>
            <w:bookmarkStart w:id="0" w:name="_Hlk71724086"/>
            <w:r w:rsidRPr="00BB17EB">
              <w:t xml:space="preserve">2021/22 Capital Programme </w:t>
            </w:r>
            <w:bookmarkEnd w:id="0"/>
            <w:r w:rsidRPr="00BB17EB">
              <w:t>by £357k to reflect the allocation of the funding for capital expenditure</w:t>
            </w:r>
          </w:p>
          <w:p w14:paraId="130A1D51" w14:textId="77777777" w:rsidR="00591016" w:rsidRDefault="00591016" w:rsidP="00605A4C"/>
          <w:p w14:paraId="7766DD33" w14:textId="472BF5CB" w:rsidR="00462305" w:rsidRDefault="00E13BEF" w:rsidP="00E13BEF">
            <w:pPr>
              <w:pStyle w:val="Heading3"/>
              <w:ind w:left="0" w:firstLine="0"/>
              <w:jc w:val="left"/>
            </w:pPr>
            <w:r>
              <w:t>Reason: (f</w:t>
            </w:r>
            <w:r w:rsidR="001C7E35" w:rsidRPr="00605A4C">
              <w:t>or recommendation</w:t>
            </w:r>
            <w:r w:rsidR="00714BEE" w:rsidRPr="00605A4C">
              <w:t>s</w:t>
            </w:r>
            <w:r w:rsidR="001C7E35" w:rsidRPr="00605A4C">
              <w:t>)</w:t>
            </w:r>
          </w:p>
          <w:p w14:paraId="2E94C092" w14:textId="6670840B" w:rsidR="006C3968" w:rsidRDefault="00636C12" w:rsidP="00BF206B">
            <w:pPr>
              <w:pStyle w:val="Heading3"/>
              <w:numPr>
                <w:ilvl w:val="0"/>
                <w:numId w:val="6"/>
              </w:numPr>
              <w:jc w:val="left"/>
              <w:rPr>
                <w:b w:val="0"/>
                <w:bCs w:val="0"/>
                <w:sz w:val="24"/>
                <w:szCs w:val="24"/>
              </w:rPr>
            </w:pPr>
            <w:r>
              <w:rPr>
                <w:b w:val="0"/>
                <w:bCs w:val="0"/>
                <w:sz w:val="24"/>
                <w:szCs w:val="24"/>
              </w:rPr>
              <w:t xml:space="preserve">Harrow, in partnership with </w:t>
            </w:r>
            <w:r w:rsidR="00035B3F">
              <w:rPr>
                <w:b w:val="0"/>
                <w:bCs w:val="0"/>
                <w:sz w:val="24"/>
                <w:szCs w:val="24"/>
              </w:rPr>
              <w:t>WLWA</w:t>
            </w:r>
            <w:r w:rsidR="004951A6">
              <w:rPr>
                <w:b w:val="0"/>
                <w:bCs w:val="0"/>
                <w:sz w:val="24"/>
                <w:szCs w:val="24"/>
              </w:rPr>
              <w:t xml:space="preserve"> and the other partner Boroughs</w:t>
            </w:r>
            <w:r w:rsidR="00280062">
              <w:rPr>
                <w:b w:val="0"/>
                <w:bCs w:val="0"/>
                <w:sz w:val="24"/>
                <w:szCs w:val="24"/>
              </w:rPr>
              <w:t>,</w:t>
            </w:r>
            <w:r w:rsidR="00462305" w:rsidRPr="006C3968">
              <w:rPr>
                <w:b w:val="0"/>
                <w:bCs w:val="0"/>
                <w:sz w:val="24"/>
                <w:szCs w:val="24"/>
              </w:rPr>
              <w:t xml:space="preserve"> identified </w:t>
            </w:r>
            <w:r w:rsidR="006C3968" w:rsidRPr="006C3968">
              <w:rPr>
                <w:b w:val="0"/>
                <w:bCs w:val="0"/>
                <w:sz w:val="24"/>
                <w:szCs w:val="24"/>
              </w:rPr>
              <w:t>disposal budget pressures whereby significant changes must take place to ensure that Boroughs can maintain solvency whilst preparing for potential legislative changes in 2023 and responding to the climate emergency by 2030</w:t>
            </w:r>
          </w:p>
          <w:p w14:paraId="51432A4E" w14:textId="1E3F9C3D" w:rsidR="006C3968" w:rsidRDefault="006C3968" w:rsidP="00BF206B">
            <w:pPr>
              <w:pStyle w:val="Heading3"/>
              <w:numPr>
                <w:ilvl w:val="0"/>
                <w:numId w:val="6"/>
              </w:numPr>
              <w:jc w:val="left"/>
              <w:rPr>
                <w:b w:val="0"/>
                <w:bCs w:val="0"/>
                <w:sz w:val="24"/>
                <w:szCs w:val="24"/>
              </w:rPr>
            </w:pPr>
            <w:r w:rsidRPr="006C3968">
              <w:rPr>
                <w:b w:val="0"/>
                <w:bCs w:val="0"/>
                <w:sz w:val="24"/>
                <w:szCs w:val="24"/>
              </w:rPr>
              <w:t xml:space="preserve">WLWA </w:t>
            </w:r>
            <w:r w:rsidR="006E6618">
              <w:rPr>
                <w:b w:val="0"/>
                <w:bCs w:val="0"/>
                <w:sz w:val="24"/>
                <w:szCs w:val="24"/>
              </w:rPr>
              <w:t>and the Environment Directors Board</w:t>
            </w:r>
            <w:r w:rsidR="006A42B8">
              <w:rPr>
                <w:b w:val="0"/>
                <w:bCs w:val="0"/>
                <w:sz w:val="24"/>
                <w:szCs w:val="24"/>
              </w:rPr>
              <w:t xml:space="preserve"> (</w:t>
            </w:r>
            <w:r w:rsidR="00BC0104">
              <w:rPr>
                <w:b w:val="0"/>
                <w:bCs w:val="0"/>
                <w:sz w:val="24"/>
                <w:szCs w:val="24"/>
              </w:rPr>
              <w:t>representing</w:t>
            </w:r>
            <w:r w:rsidR="001A2139">
              <w:rPr>
                <w:b w:val="0"/>
                <w:bCs w:val="0"/>
                <w:sz w:val="24"/>
                <w:szCs w:val="24"/>
              </w:rPr>
              <w:t xml:space="preserve"> the 6 </w:t>
            </w:r>
            <w:r w:rsidR="00BC0104">
              <w:rPr>
                <w:b w:val="0"/>
                <w:bCs w:val="0"/>
                <w:sz w:val="24"/>
                <w:szCs w:val="24"/>
              </w:rPr>
              <w:t xml:space="preserve">West London </w:t>
            </w:r>
            <w:r w:rsidR="001A2139">
              <w:rPr>
                <w:b w:val="0"/>
                <w:bCs w:val="0"/>
                <w:sz w:val="24"/>
                <w:szCs w:val="24"/>
              </w:rPr>
              <w:t>Boroughs)</w:t>
            </w:r>
            <w:r w:rsidR="006E6618">
              <w:rPr>
                <w:b w:val="0"/>
                <w:bCs w:val="0"/>
                <w:sz w:val="24"/>
                <w:szCs w:val="24"/>
              </w:rPr>
              <w:t xml:space="preserve"> agreed to make</w:t>
            </w:r>
            <w:r w:rsidRPr="006C3968">
              <w:rPr>
                <w:b w:val="0"/>
                <w:bCs w:val="0"/>
                <w:sz w:val="24"/>
                <w:szCs w:val="24"/>
              </w:rPr>
              <w:t xml:space="preserve"> £0.5m available for each Borough to address one of the identified areas of change, food waste</w:t>
            </w:r>
            <w:r>
              <w:rPr>
                <w:b w:val="0"/>
                <w:bCs w:val="0"/>
                <w:sz w:val="24"/>
                <w:szCs w:val="24"/>
              </w:rPr>
              <w:t>, of which the Council presented its business case and was successful</w:t>
            </w:r>
          </w:p>
          <w:p w14:paraId="55733863" w14:textId="037AEF6B" w:rsidR="006C3968" w:rsidRPr="006C3968" w:rsidRDefault="006C3968" w:rsidP="00BF206B">
            <w:pPr>
              <w:pStyle w:val="ListParagraph"/>
              <w:numPr>
                <w:ilvl w:val="0"/>
                <w:numId w:val="6"/>
              </w:numPr>
            </w:pPr>
            <w:r>
              <w:t xml:space="preserve">The funding has now been received and approval for spend of this funding is required </w:t>
            </w:r>
            <w:r w:rsidR="002419C5">
              <w:t>to</w:t>
            </w:r>
            <w:r>
              <w:t xml:space="preserve"> commence the project.</w:t>
            </w:r>
            <w:r w:rsidR="00970B72">
              <w:rPr>
                <w:b/>
                <w:bCs/>
                <w:szCs w:val="24"/>
              </w:rPr>
              <w:t xml:space="preserve"> </w:t>
            </w:r>
            <w:r w:rsidR="00970B72">
              <w:rPr>
                <w:szCs w:val="24"/>
              </w:rPr>
              <w:t xml:space="preserve">The proposed spend will consist of </w:t>
            </w:r>
            <w:r w:rsidR="00970B72" w:rsidRPr="00970B72">
              <w:rPr>
                <w:szCs w:val="24"/>
              </w:rPr>
              <w:t>£357k capital and remaining £143k revenue</w:t>
            </w:r>
            <w:r w:rsidR="00970B72">
              <w:rPr>
                <w:szCs w:val="24"/>
              </w:rPr>
              <w:t>.</w:t>
            </w:r>
          </w:p>
          <w:p w14:paraId="313BC81E" w14:textId="77777777" w:rsidR="00333FAA" w:rsidRDefault="00333FAA" w:rsidP="0042797C">
            <w:pPr>
              <w:pStyle w:val="Heading3"/>
              <w:ind w:left="0" w:firstLine="0"/>
              <w:jc w:val="left"/>
            </w:pPr>
          </w:p>
        </w:tc>
      </w:tr>
    </w:tbl>
    <w:p w14:paraId="0204F38A" w14:textId="77777777" w:rsidR="00333FAA" w:rsidRDefault="00333FAA" w:rsidP="00F06E4E">
      <w:pPr>
        <w:pStyle w:val="Heading2"/>
        <w:spacing w:before="480"/>
      </w:pPr>
      <w:r>
        <w:lastRenderedPageBreak/>
        <w:t>Section 2 – Report</w:t>
      </w:r>
    </w:p>
    <w:p w14:paraId="0A078380" w14:textId="77777777" w:rsidR="00AD1E77" w:rsidRDefault="001C7E35" w:rsidP="00A1211C">
      <w:pPr>
        <w:pStyle w:val="Heading3"/>
        <w:spacing w:before="240"/>
        <w:ind w:left="0" w:firstLine="0"/>
        <w:jc w:val="left"/>
      </w:pPr>
      <w:r>
        <w:t xml:space="preserve">Options considered  </w:t>
      </w:r>
    </w:p>
    <w:p w14:paraId="5AA5079E" w14:textId="14BAE74F" w:rsidR="004E74C1" w:rsidRPr="002419C5" w:rsidRDefault="004E74C1" w:rsidP="002419C5">
      <w:pPr>
        <w:spacing w:after="240"/>
        <w:rPr>
          <w:bCs/>
        </w:rPr>
      </w:pPr>
      <w:r w:rsidRPr="002419C5">
        <w:rPr>
          <w:bCs/>
        </w:rPr>
        <w:t xml:space="preserve">The requirements of the grant funding specified that the projects </w:t>
      </w:r>
      <w:r w:rsidR="008B3737" w:rsidRPr="002419C5">
        <w:rPr>
          <w:bCs/>
        </w:rPr>
        <w:t>be on food waste diversion from residual and food waste minimisation</w:t>
      </w:r>
      <w:r w:rsidRPr="002419C5">
        <w:rPr>
          <w:bCs/>
        </w:rPr>
        <w:t>.</w:t>
      </w:r>
      <w:r w:rsidR="008B3737" w:rsidRPr="002419C5">
        <w:rPr>
          <w:bCs/>
        </w:rPr>
        <w:t xml:space="preserve"> </w:t>
      </w:r>
      <w:r w:rsidR="002419C5" w:rsidRPr="002419C5">
        <w:rPr>
          <w:bCs/>
        </w:rPr>
        <w:t>Therefore,</w:t>
      </w:r>
      <w:r w:rsidR="008B3737" w:rsidRPr="002419C5">
        <w:rPr>
          <w:bCs/>
        </w:rPr>
        <w:t xml:space="preserve"> no other options were considered </w:t>
      </w:r>
      <w:r w:rsidR="002419C5" w:rsidRPr="002419C5">
        <w:rPr>
          <w:bCs/>
        </w:rPr>
        <w:t>as part of this project.</w:t>
      </w:r>
    </w:p>
    <w:p w14:paraId="49C903BD" w14:textId="60C97FBE" w:rsidR="0057637F" w:rsidRPr="002419C5" w:rsidRDefault="0057637F" w:rsidP="00AD1E77">
      <w:pPr>
        <w:rPr>
          <w:bCs/>
        </w:rPr>
      </w:pPr>
      <w:r w:rsidRPr="002419C5">
        <w:rPr>
          <w:bCs/>
        </w:rPr>
        <w:t xml:space="preserve">As part of the </w:t>
      </w:r>
      <w:r w:rsidR="00E25487" w:rsidRPr="002419C5">
        <w:rPr>
          <w:bCs/>
        </w:rPr>
        <w:t>value stream mapping workshops, it was identified that communal properties, flats above shops and comm</w:t>
      </w:r>
      <w:r w:rsidR="004E74C1" w:rsidRPr="002419C5">
        <w:rPr>
          <w:bCs/>
        </w:rPr>
        <w:t>ercial food premises were the high priority</w:t>
      </w:r>
      <w:r w:rsidR="002419C5" w:rsidRPr="002419C5">
        <w:rPr>
          <w:bCs/>
        </w:rPr>
        <w:t xml:space="preserve"> and therefore no further options were considered as part of this project.</w:t>
      </w:r>
    </w:p>
    <w:p w14:paraId="186DEA46" w14:textId="77777777" w:rsidR="006C3968" w:rsidRDefault="006C3968" w:rsidP="0054590F">
      <w:pPr>
        <w:pStyle w:val="Heading4"/>
        <w:rPr>
          <w:color w:val="0000FF"/>
          <w:szCs w:val="24"/>
        </w:rPr>
      </w:pPr>
    </w:p>
    <w:p w14:paraId="6AC7E7FC" w14:textId="77777777" w:rsidR="006C3968" w:rsidRPr="001062A7" w:rsidRDefault="006C3968" w:rsidP="00BF206B">
      <w:pPr>
        <w:pStyle w:val="ListParagraph"/>
        <w:numPr>
          <w:ilvl w:val="0"/>
          <w:numId w:val="3"/>
        </w:numPr>
        <w:spacing w:after="120" w:line="259" w:lineRule="auto"/>
        <w:rPr>
          <w:rFonts w:cs="Arial"/>
          <w:b/>
          <w:bCs/>
        </w:rPr>
      </w:pPr>
      <w:r>
        <w:rPr>
          <w:rFonts w:cs="Arial"/>
          <w:b/>
          <w:bCs/>
          <w:u w:val="single"/>
        </w:rPr>
        <w:t>BACKGROUND</w:t>
      </w:r>
    </w:p>
    <w:p w14:paraId="121BA46A" w14:textId="3310C7DB" w:rsidR="006C3968" w:rsidRPr="00A926C9" w:rsidRDefault="006C3968" w:rsidP="00BF206B">
      <w:pPr>
        <w:pStyle w:val="ListParagraph"/>
        <w:numPr>
          <w:ilvl w:val="1"/>
          <w:numId w:val="3"/>
        </w:numPr>
        <w:spacing w:after="120" w:line="259" w:lineRule="auto"/>
        <w:ind w:left="709" w:hanging="709"/>
        <w:rPr>
          <w:rFonts w:cs="Arial"/>
          <w:b/>
          <w:bCs/>
        </w:rPr>
      </w:pPr>
      <w:r>
        <w:rPr>
          <w:rFonts w:cs="Arial"/>
        </w:rPr>
        <w:t>Disposal budget pressures identify that significant changes must take place to ensure that Boroughs can maintain solvency whilst preparing for potential legislative changes in 2023 and responding to the climate emergency by 2030</w:t>
      </w:r>
    </w:p>
    <w:p w14:paraId="25CFF606" w14:textId="15C08BF7" w:rsidR="00A926C9" w:rsidRPr="004A48C6" w:rsidRDefault="00E74A7C" w:rsidP="00BF206B">
      <w:pPr>
        <w:pStyle w:val="ListParagraph"/>
        <w:numPr>
          <w:ilvl w:val="1"/>
          <w:numId w:val="3"/>
        </w:numPr>
        <w:spacing w:after="120" w:line="259" w:lineRule="auto"/>
        <w:ind w:left="709" w:hanging="709"/>
        <w:rPr>
          <w:rFonts w:cs="Arial"/>
          <w:b/>
          <w:bCs/>
        </w:rPr>
      </w:pPr>
      <w:r>
        <w:rPr>
          <w:rFonts w:cs="Arial"/>
        </w:rPr>
        <w:t xml:space="preserve">Harrow </w:t>
      </w:r>
      <w:r>
        <w:t xml:space="preserve">declared a climate emergency in 2019 and developed </w:t>
      </w:r>
      <w:r w:rsidR="0097310F">
        <w:t>the</w:t>
      </w:r>
      <w:r>
        <w:t xml:space="preserve"> </w:t>
      </w:r>
      <w:r w:rsidR="0097310F" w:rsidRPr="0097310F">
        <w:t>Council’s Climate Change Strategy 2019</w:t>
      </w:r>
      <w:r w:rsidR="0097310F">
        <w:t>-</w:t>
      </w:r>
      <w:r w:rsidR="0097310F" w:rsidRPr="0097310F">
        <w:t xml:space="preserve">2024 </w:t>
      </w:r>
      <w:r w:rsidR="0097310F">
        <w:t>(</w:t>
      </w:r>
      <w:r w:rsidR="0097310F" w:rsidRPr="0097310F">
        <w:t>approved by Cabinet in January 2019</w:t>
      </w:r>
      <w:r w:rsidR="0097310F">
        <w:t xml:space="preserve">) </w:t>
      </w:r>
      <w:r>
        <w:t xml:space="preserve">that sets out key objectives in tackling the climate emergency. One of the objectives in the strategy </w:t>
      </w:r>
      <w:r w:rsidR="00FE2A04">
        <w:t>is about</w:t>
      </w:r>
      <w:r>
        <w:t xml:space="preserve"> </w:t>
      </w:r>
      <w:r w:rsidRPr="0061019C">
        <w:rPr>
          <w:i/>
          <w:iCs/>
        </w:rPr>
        <w:t>‘Reducing waste generation and increasing recycling rates’</w:t>
      </w:r>
      <w:r w:rsidR="00DC01B5" w:rsidRPr="00DC01B5">
        <w:t>.</w:t>
      </w:r>
    </w:p>
    <w:p w14:paraId="1AF0FD60" w14:textId="69C7CBF8" w:rsidR="00616A59" w:rsidRPr="00DB6EF3" w:rsidRDefault="004A48C6" w:rsidP="00BF206B">
      <w:pPr>
        <w:pStyle w:val="ListParagraph"/>
        <w:numPr>
          <w:ilvl w:val="1"/>
          <w:numId w:val="3"/>
        </w:numPr>
        <w:spacing w:after="120" w:line="259" w:lineRule="auto"/>
        <w:ind w:left="709" w:hanging="709"/>
        <w:rPr>
          <w:rFonts w:cs="Arial"/>
          <w:b/>
          <w:bCs/>
        </w:rPr>
      </w:pPr>
      <w:r>
        <w:rPr>
          <w:rFonts w:cs="Arial"/>
        </w:rPr>
        <w:t xml:space="preserve">From waste compositional analysis undertaken in Feb/Mar 2020 it was identified that 35-40% of </w:t>
      </w:r>
      <w:r w:rsidR="007474EE">
        <w:rPr>
          <w:rFonts w:cs="Arial"/>
        </w:rPr>
        <w:t>the residual household and communal waste bins were made up of food waste</w:t>
      </w:r>
      <w:r w:rsidR="00616A59">
        <w:rPr>
          <w:rFonts w:cs="Arial"/>
        </w:rPr>
        <w:t xml:space="preserve">. This signified an accessible tonnage that could be diverted from residual waste disposal </w:t>
      </w:r>
      <w:r w:rsidR="00DB6EF3">
        <w:rPr>
          <w:rFonts w:cs="Arial"/>
        </w:rPr>
        <w:t>culminating in reduced disposal costs.</w:t>
      </w:r>
    </w:p>
    <w:p w14:paraId="30E8E267" w14:textId="096A0E46" w:rsidR="00DB6EF3" w:rsidRPr="00616A59" w:rsidRDefault="00DB6EF3" w:rsidP="00BF206B">
      <w:pPr>
        <w:pStyle w:val="ListParagraph"/>
        <w:numPr>
          <w:ilvl w:val="1"/>
          <w:numId w:val="3"/>
        </w:numPr>
        <w:spacing w:after="120" w:line="259" w:lineRule="auto"/>
        <w:ind w:left="709" w:hanging="709"/>
        <w:rPr>
          <w:rFonts w:cs="Arial"/>
          <w:b/>
          <w:bCs/>
        </w:rPr>
      </w:pPr>
      <w:r>
        <w:rPr>
          <w:rFonts w:cs="Arial"/>
        </w:rPr>
        <w:t xml:space="preserve">In addition, diversion of food waste from residual bins for recycling (and ultimately </w:t>
      </w:r>
      <w:r w:rsidR="001402E6">
        <w:rPr>
          <w:rFonts w:cs="Arial"/>
        </w:rPr>
        <w:t xml:space="preserve">waste minimisation) was identified as an important </w:t>
      </w:r>
      <w:r w:rsidR="001402E6">
        <w:rPr>
          <w:rFonts w:cs="Arial"/>
        </w:rPr>
        <w:lastRenderedPageBreak/>
        <w:t xml:space="preserve">contributor to addressing the climate emergency and linked to Harrow’s </w:t>
      </w:r>
      <w:r w:rsidR="00E30354">
        <w:rPr>
          <w:rFonts w:cs="Arial"/>
        </w:rPr>
        <w:t>Climate Change</w:t>
      </w:r>
      <w:r w:rsidR="001402E6">
        <w:rPr>
          <w:rFonts w:cs="Arial"/>
        </w:rPr>
        <w:t xml:space="preserve"> </w:t>
      </w:r>
      <w:r w:rsidR="00E30354">
        <w:rPr>
          <w:rFonts w:cs="Arial"/>
        </w:rPr>
        <w:t>S</w:t>
      </w:r>
      <w:r w:rsidR="001402E6">
        <w:rPr>
          <w:rFonts w:cs="Arial"/>
        </w:rPr>
        <w:t>trategy.</w:t>
      </w:r>
      <w:r w:rsidR="00C72806">
        <w:rPr>
          <w:rFonts w:cs="Arial"/>
        </w:rPr>
        <w:t xml:space="preserve"> </w:t>
      </w:r>
      <w:r w:rsidR="00E12C5E">
        <w:rPr>
          <w:rFonts w:cs="Arial"/>
        </w:rPr>
        <w:t>The additional benefit would be around increasing overall recycling rates.</w:t>
      </w:r>
    </w:p>
    <w:p w14:paraId="497F1F58" w14:textId="44280D88" w:rsidR="006C3968" w:rsidRPr="00386759" w:rsidRDefault="006C3968" w:rsidP="00BF206B">
      <w:pPr>
        <w:pStyle w:val="ListParagraph"/>
        <w:numPr>
          <w:ilvl w:val="1"/>
          <w:numId w:val="3"/>
        </w:numPr>
        <w:spacing w:after="120" w:line="259" w:lineRule="auto"/>
        <w:ind w:left="709" w:hanging="792"/>
        <w:rPr>
          <w:rFonts w:cs="Arial"/>
          <w:b/>
          <w:bCs/>
        </w:rPr>
      </w:pPr>
      <w:r>
        <w:rPr>
          <w:rFonts w:cs="Arial"/>
        </w:rPr>
        <w:t>W</w:t>
      </w:r>
      <w:r w:rsidR="00421DC1">
        <w:rPr>
          <w:rFonts w:cs="Arial"/>
        </w:rPr>
        <w:t xml:space="preserve">est </w:t>
      </w:r>
      <w:r>
        <w:rPr>
          <w:rFonts w:cs="Arial"/>
        </w:rPr>
        <w:t>L</w:t>
      </w:r>
      <w:r w:rsidR="00421DC1">
        <w:rPr>
          <w:rFonts w:cs="Arial"/>
        </w:rPr>
        <w:t xml:space="preserve">ondon </w:t>
      </w:r>
      <w:r>
        <w:rPr>
          <w:rFonts w:cs="Arial"/>
        </w:rPr>
        <w:t>W</w:t>
      </w:r>
      <w:r w:rsidR="00421DC1">
        <w:rPr>
          <w:rFonts w:cs="Arial"/>
        </w:rPr>
        <w:t xml:space="preserve">aste </w:t>
      </w:r>
      <w:r>
        <w:rPr>
          <w:rFonts w:cs="Arial"/>
        </w:rPr>
        <w:t>A</w:t>
      </w:r>
      <w:r w:rsidR="00421DC1">
        <w:rPr>
          <w:rFonts w:cs="Arial"/>
        </w:rPr>
        <w:t>uthority (WLWA)</w:t>
      </w:r>
      <w:r>
        <w:rPr>
          <w:rFonts w:cs="Arial"/>
        </w:rPr>
        <w:t xml:space="preserve"> </w:t>
      </w:r>
      <w:r w:rsidR="00C66F49">
        <w:rPr>
          <w:rFonts w:cs="Arial"/>
        </w:rPr>
        <w:t xml:space="preserve">and the Environment Directors Board </w:t>
      </w:r>
      <w:r>
        <w:rPr>
          <w:rFonts w:cs="Arial"/>
        </w:rPr>
        <w:t>made up to £0.5m available for each Borough for them to address one of the identified areas for change, food waste.</w:t>
      </w:r>
    </w:p>
    <w:p w14:paraId="2CE24C96" w14:textId="23342CE1" w:rsidR="006C3968" w:rsidRPr="00505A3C" w:rsidRDefault="006C3968" w:rsidP="00BF206B">
      <w:pPr>
        <w:pStyle w:val="ListParagraph"/>
        <w:numPr>
          <w:ilvl w:val="1"/>
          <w:numId w:val="3"/>
        </w:numPr>
        <w:spacing w:after="120" w:line="259" w:lineRule="auto"/>
        <w:ind w:left="709" w:hanging="792"/>
        <w:rPr>
          <w:rFonts w:cs="Arial"/>
          <w:b/>
          <w:bCs/>
        </w:rPr>
      </w:pPr>
      <w:r>
        <w:rPr>
          <w:rFonts w:cs="Arial"/>
        </w:rPr>
        <w:t xml:space="preserve">Value stream mapping workshops were undertaken </w:t>
      </w:r>
      <w:r w:rsidR="00702209">
        <w:rPr>
          <w:rFonts w:cs="Arial"/>
        </w:rPr>
        <w:t xml:space="preserve">by Harrow in partnership with WLWA </w:t>
      </w:r>
      <w:r>
        <w:rPr>
          <w:rFonts w:cs="Arial"/>
        </w:rPr>
        <w:t>to work through where the funding would be best allocated in order to deliver the most value.</w:t>
      </w:r>
    </w:p>
    <w:p w14:paraId="00A0D343" w14:textId="77777777" w:rsidR="006C3968" w:rsidRPr="00505A3C" w:rsidRDefault="006C3968" w:rsidP="00BF206B">
      <w:pPr>
        <w:pStyle w:val="ListParagraph"/>
        <w:numPr>
          <w:ilvl w:val="0"/>
          <w:numId w:val="3"/>
        </w:numPr>
        <w:spacing w:after="120" w:line="259" w:lineRule="auto"/>
        <w:rPr>
          <w:rFonts w:cs="Arial"/>
          <w:b/>
          <w:bCs/>
        </w:rPr>
      </w:pPr>
      <w:r>
        <w:rPr>
          <w:rFonts w:cs="Arial"/>
          <w:b/>
          <w:bCs/>
          <w:u w:val="single"/>
        </w:rPr>
        <w:t>OBJECTIVES</w:t>
      </w:r>
    </w:p>
    <w:p w14:paraId="34D570BB" w14:textId="62A20C72" w:rsidR="006C3968" w:rsidRDefault="00702209" w:rsidP="00BF206B">
      <w:pPr>
        <w:pStyle w:val="ListParagraph"/>
        <w:numPr>
          <w:ilvl w:val="1"/>
          <w:numId w:val="3"/>
        </w:numPr>
        <w:spacing w:after="120" w:line="259" w:lineRule="auto"/>
        <w:ind w:left="709" w:hanging="709"/>
        <w:rPr>
          <w:rFonts w:cs="Arial"/>
        </w:rPr>
      </w:pPr>
      <w:r>
        <w:rPr>
          <w:rFonts w:cs="Arial"/>
        </w:rPr>
        <w:t>The grant funding requirements</w:t>
      </w:r>
      <w:r w:rsidR="006C3968">
        <w:rPr>
          <w:rFonts w:cs="Arial"/>
        </w:rPr>
        <w:t xml:space="preserve"> identified </w:t>
      </w:r>
      <w:r w:rsidR="00535194">
        <w:rPr>
          <w:rFonts w:cs="Arial"/>
        </w:rPr>
        <w:t>two</w:t>
      </w:r>
      <w:r w:rsidR="006C3968">
        <w:rPr>
          <w:rFonts w:cs="Arial"/>
        </w:rPr>
        <w:t xml:space="preserve"> key objectives for the funding</w:t>
      </w:r>
    </w:p>
    <w:p w14:paraId="7B528308" w14:textId="77777777" w:rsidR="006C3968" w:rsidRPr="00A308F6" w:rsidRDefault="006C3968" w:rsidP="00BF206B">
      <w:pPr>
        <w:pStyle w:val="ListParagraph"/>
        <w:numPr>
          <w:ilvl w:val="2"/>
          <w:numId w:val="3"/>
        </w:numPr>
        <w:spacing w:after="120" w:line="259" w:lineRule="auto"/>
        <w:rPr>
          <w:rFonts w:cs="Arial"/>
        </w:rPr>
      </w:pPr>
      <w:r w:rsidRPr="00A308F6">
        <w:rPr>
          <w:rFonts w:cs="Arial"/>
        </w:rPr>
        <w:t xml:space="preserve">To drive up food waste collected from households by approx. 1kg/hh/week, and </w:t>
      </w:r>
    </w:p>
    <w:p w14:paraId="2779D217" w14:textId="77777777" w:rsidR="006C3968" w:rsidRPr="00722E43" w:rsidRDefault="006C3968" w:rsidP="00BF206B">
      <w:pPr>
        <w:pStyle w:val="ListParagraph"/>
        <w:numPr>
          <w:ilvl w:val="2"/>
          <w:numId w:val="3"/>
        </w:numPr>
        <w:spacing w:after="120" w:line="259" w:lineRule="auto"/>
        <w:rPr>
          <w:rFonts w:cs="Arial"/>
          <w:b/>
          <w:bCs/>
        </w:rPr>
      </w:pPr>
      <w:r w:rsidRPr="00A308F6">
        <w:rPr>
          <w:rFonts w:cs="Arial"/>
        </w:rPr>
        <w:t>To drive down residual waste collected by at least 1kg/hh/week</w:t>
      </w:r>
    </w:p>
    <w:p w14:paraId="7CEAA0AF" w14:textId="6C8F2F9B" w:rsidR="006C3968" w:rsidRPr="00291E53" w:rsidRDefault="00467FBE" w:rsidP="00BF206B">
      <w:pPr>
        <w:pStyle w:val="ListParagraph"/>
        <w:numPr>
          <w:ilvl w:val="0"/>
          <w:numId w:val="3"/>
        </w:numPr>
        <w:spacing w:after="120" w:line="259" w:lineRule="auto"/>
        <w:rPr>
          <w:rFonts w:cs="Arial"/>
          <w:b/>
          <w:bCs/>
        </w:rPr>
      </w:pPr>
      <w:r>
        <w:rPr>
          <w:rFonts w:cs="Arial"/>
          <w:b/>
          <w:bCs/>
          <w:u w:val="single"/>
        </w:rPr>
        <w:t>SCOPE</w:t>
      </w:r>
    </w:p>
    <w:p w14:paraId="441D650E" w14:textId="78ED9210" w:rsidR="00B424B8" w:rsidRDefault="00CA1C38" w:rsidP="00BF206B">
      <w:pPr>
        <w:pStyle w:val="ListParagraph"/>
        <w:numPr>
          <w:ilvl w:val="1"/>
          <w:numId w:val="3"/>
        </w:numPr>
        <w:spacing w:after="120" w:line="259" w:lineRule="auto"/>
        <w:ind w:left="709" w:hanging="709"/>
        <w:rPr>
          <w:rFonts w:cs="Arial"/>
        </w:rPr>
      </w:pPr>
      <w:r w:rsidRPr="008532D7">
        <w:rPr>
          <w:rFonts w:cs="Arial"/>
        </w:rPr>
        <w:t>Based on the value stream mapping workshops undertaken with WLWA</w:t>
      </w:r>
      <w:r w:rsidR="00443FC4" w:rsidRPr="008532D7">
        <w:rPr>
          <w:rFonts w:cs="Arial"/>
        </w:rPr>
        <w:t>, Harrow identified th</w:t>
      </w:r>
      <w:r w:rsidR="000C48A5" w:rsidRPr="008532D7">
        <w:rPr>
          <w:rFonts w:cs="Arial"/>
        </w:rPr>
        <w:t>ree key areas where tangible improvements could be made to capturing food waste for recycling</w:t>
      </w:r>
      <w:r w:rsidR="003A60B6" w:rsidRPr="008532D7">
        <w:rPr>
          <w:rFonts w:cs="Arial"/>
        </w:rPr>
        <w:t>. These</w:t>
      </w:r>
      <w:r w:rsidR="00840702" w:rsidRPr="008532D7">
        <w:rPr>
          <w:rFonts w:cs="Arial"/>
        </w:rPr>
        <w:t xml:space="preserve"> were then </w:t>
      </w:r>
      <w:r w:rsidR="000A057E" w:rsidRPr="008532D7">
        <w:rPr>
          <w:rFonts w:cs="Arial"/>
        </w:rPr>
        <w:t xml:space="preserve">further </w:t>
      </w:r>
      <w:r w:rsidR="00840702" w:rsidRPr="008532D7">
        <w:rPr>
          <w:rFonts w:cs="Arial"/>
        </w:rPr>
        <w:t>developed</w:t>
      </w:r>
      <w:r w:rsidR="000A057E" w:rsidRPr="008532D7">
        <w:rPr>
          <w:rFonts w:cs="Arial"/>
        </w:rPr>
        <w:t xml:space="preserve"> as part of the value stream mapping</w:t>
      </w:r>
      <w:r w:rsidR="00840702" w:rsidRPr="008532D7">
        <w:rPr>
          <w:rFonts w:cs="Arial"/>
        </w:rPr>
        <w:t xml:space="preserve"> into </w:t>
      </w:r>
      <w:r w:rsidR="000A057E" w:rsidRPr="008532D7">
        <w:rPr>
          <w:rFonts w:cs="Arial"/>
        </w:rPr>
        <w:t>key projects.</w:t>
      </w:r>
    </w:p>
    <w:p w14:paraId="4D096526" w14:textId="23C121F4" w:rsidR="00251E2E" w:rsidRDefault="009A754D" w:rsidP="00E30354">
      <w:pPr>
        <w:pStyle w:val="ListParagraph"/>
        <w:numPr>
          <w:ilvl w:val="2"/>
          <w:numId w:val="8"/>
        </w:numPr>
        <w:spacing w:after="120" w:line="259" w:lineRule="auto"/>
        <w:rPr>
          <w:rFonts w:cs="Arial"/>
        </w:rPr>
      </w:pPr>
      <w:r>
        <w:rPr>
          <w:rFonts w:cs="Arial"/>
        </w:rPr>
        <w:t>Communal bins stores</w:t>
      </w:r>
    </w:p>
    <w:p w14:paraId="43405054" w14:textId="4D6FF862" w:rsidR="009A754D" w:rsidRDefault="009A754D" w:rsidP="00E30354">
      <w:pPr>
        <w:pStyle w:val="ListParagraph"/>
        <w:numPr>
          <w:ilvl w:val="2"/>
          <w:numId w:val="8"/>
        </w:numPr>
        <w:spacing w:after="120" w:line="259" w:lineRule="auto"/>
        <w:rPr>
          <w:rFonts w:cs="Arial"/>
        </w:rPr>
      </w:pPr>
      <w:r>
        <w:rPr>
          <w:rFonts w:cs="Arial"/>
        </w:rPr>
        <w:t>Flats above shops</w:t>
      </w:r>
    </w:p>
    <w:p w14:paraId="5B98A842" w14:textId="6E4B51BD" w:rsidR="009A754D" w:rsidRDefault="009A754D" w:rsidP="00E30354">
      <w:pPr>
        <w:pStyle w:val="ListParagraph"/>
        <w:numPr>
          <w:ilvl w:val="2"/>
          <w:numId w:val="8"/>
        </w:numPr>
        <w:spacing w:after="120" w:line="259" w:lineRule="auto"/>
        <w:rPr>
          <w:rFonts w:cs="Arial"/>
        </w:rPr>
      </w:pPr>
      <w:r>
        <w:rPr>
          <w:rFonts w:cs="Arial"/>
        </w:rPr>
        <w:t>Engagement and communications</w:t>
      </w:r>
    </w:p>
    <w:p w14:paraId="5A8B9F6B" w14:textId="5378C52A" w:rsidR="00E55E3C" w:rsidRDefault="000042EA" w:rsidP="00BF206B">
      <w:pPr>
        <w:pStyle w:val="ListParagraph"/>
        <w:numPr>
          <w:ilvl w:val="1"/>
          <w:numId w:val="3"/>
        </w:numPr>
        <w:spacing w:after="120" w:line="259" w:lineRule="auto"/>
        <w:ind w:left="709" w:hanging="709"/>
        <w:rPr>
          <w:rFonts w:cs="Arial"/>
        </w:rPr>
      </w:pPr>
      <w:r>
        <w:rPr>
          <w:rFonts w:cs="Arial"/>
        </w:rPr>
        <w:t xml:space="preserve">Due to the </w:t>
      </w:r>
      <w:r w:rsidR="00CA4666">
        <w:rPr>
          <w:rFonts w:cs="Arial"/>
        </w:rPr>
        <w:t xml:space="preserve">amount of funding and to ensure the success of any changes implemented in these </w:t>
      </w:r>
      <w:r w:rsidR="0020719F">
        <w:rPr>
          <w:rFonts w:cs="Arial"/>
        </w:rPr>
        <w:t xml:space="preserve">key </w:t>
      </w:r>
      <w:r w:rsidR="008B528E">
        <w:rPr>
          <w:rFonts w:cs="Arial"/>
        </w:rPr>
        <w:t>a</w:t>
      </w:r>
      <w:r w:rsidR="00CA4666">
        <w:rPr>
          <w:rFonts w:cs="Arial"/>
        </w:rPr>
        <w:t xml:space="preserve">reas, the aim of the </w:t>
      </w:r>
      <w:r w:rsidR="008B528E">
        <w:rPr>
          <w:rFonts w:cs="Arial"/>
        </w:rPr>
        <w:t>project is to be used as a pilot</w:t>
      </w:r>
      <w:r w:rsidR="00833C51">
        <w:rPr>
          <w:rFonts w:cs="Arial"/>
        </w:rPr>
        <w:t xml:space="preserve"> to assess the effectiveness of investment i</w:t>
      </w:r>
      <w:r w:rsidR="0020719F">
        <w:rPr>
          <w:rFonts w:cs="Arial"/>
        </w:rPr>
        <w:t xml:space="preserve">mprovements against performance. </w:t>
      </w:r>
    </w:p>
    <w:p w14:paraId="5B30B5CC" w14:textId="4C223575" w:rsidR="0020719F" w:rsidRPr="00467FBE" w:rsidRDefault="0020719F" w:rsidP="00BF206B">
      <w:pPr>
        <w:pStyle w:val="ListParagraph"/>
        <w:numPr>
          <w:ilvl w:val="1"/>
          <w:numId w:val="3"/>
        </w:numPr>
        <w:spacing w:after="120" w:line="259" w:lineRule="auto"/>
        <w:ind w:left="709" w:hanging="709"/>
        <w:rPr>
          <w:rFonts w:cs="Arial"/>
        </w:rPr>
      </w:pPr>
      <w:r>
        <w:rPr>
          <w:rFonts w:cs="Arial"/>
        </w:rPr>
        <w:t xml:space="preserve">Should the pilots prove </w:t>
      </w:r>
      <w:r w:rsidRPr="003800A9">
        <w:rPr>
          <w:szCs w:val="24"/>
        </w:rPr>
        <w:t>effective then further funding will be sought to roll-out across further sites within the Borough</w:t>
      </w:r>
    </w:p>
    <w:p w14:paraId="5769B5ED" w14:textId="651308D7" w:rsidR="00467FBE" w:rsidRPr="00467FBE" w:rsidRDefault="00467FBE" w:rsidP="00BF206B">
      <w:pPr>
        <w:pStyle w:val="ListParagraph"/>
        <w:numPr>
          <w:ilvl w:val="0"/>
          <w:numId w:val="3"/>
        </w:numPr>
        <w:spacing w:after="120" w:line="259" w:lineRule="auto"/>
        <w:rPr>
          <w:rFonts w:cs="Arial"/>
          <w:b/>
          <w:bCs/>
          <w:u w:val="single"/>
        </w:rPr>
      </w:pPr>
      <w:r w:rsidRPr="00467FBE">
        <w:rPr>
          <w:b/>
          <w:bCs/>
          <w:szCs w:val="24"/>
          <w:u w:val="single"/>
        </w:rPr>
        <w:t>PROJECTS</w:t>
      </w:r>
    </w:p>
    <w:p w14:paraId="66E3A37B" w14:textId="7D0E021F" w:rsidR="000A057E" w:rsidRPr="008532D7" w:rsidRDefault="001D6825" w:rsidP="00BF206B">
      <w:pPr>
        <w:pStyle w:val="ListParagraph"/>
        <w:numPr>
          <w:ilvl w:val="1"/>
          <w:numId w:val="3"/>
        </w:numPr>
        <w:spacing w:after="120" w:line="259" w:lineRule="auto"/>
        <w:ind w:left="709" w:hanging="709"/>
        <w:rPr>
          <w:rFonts w:cs="Arial"/>
        </w:rPr>
      </w:pPr>
      <w:r w:rsidRPr="008532D7">
        <w:rPr>
          <w:rFonts w:cs="Arial"/>
        </w:rPr>
        <w:t>Communal bin stores</w:t>
      </w:r>
    </w:p>
    <w:p w14:paraId="49C3E16B" w14:textId="5068F98D" w:rsidR="006276E4" w:rsidRPr="008532D7" w:rsidRDefault="006276E4" w:rsidP="005E1CE3">
      <w:pPr>
        <w:pStyle w:val="ListParagraph"/>
        <w:numPr>
          <w:ilvl w:val="2"/>
          <w:numId w:val="9"/>
        </w:numPr>
        <w:spacing w:after="120" w:line="259" w:lineRule="auto"/>
        <w:rPr>
          <w:rFonts w:cs="Arial"/>
        </w:rPr>
      </w:pPr>
      <w:r w:rsidRPr="008532D7">
        <w:rPr>
          <w:rFonts w:cs="Arial"/>
        </w:rPr>
        <w:t>All standard communal properties</w:t>
      </w:r>
      <w:r w:rsidR="00626F75" w:rsidRPr="008532D7">
        <w:rPr>
          <w:rFonts w:cs="Arial"/>
        </w:rPr>
        <w:t xml:space="preserve"> (excluding flats above shops)</w:t>
      </w:r>
      <w:r w:rsidRPr="008532D7">
        <w:rPr>
          <w:rFonts w:cs="Arial"/>
        </w:rPr>
        <w:t xml:space="preserve"> across the Borough </w:t>
      </w:r>
      <w:r w:rsidR="00626F75" w:rsidRPr="008532D7">
        <w:rPr>
          <w:rFonts w:cs="Arial"/>
        </w:rPr>
        <w:t>have had access to facilities to recycle their food waste since January 2019</w:t>
      </w:r>
    </w:p>
    <w:p w14:paraId="663A7D8C" w14:textId="72EA28A8" w:rsidR="002E2BD9" w:rsidRPr="008532D7" w:rsidRDefault="002E2BD9" w:rsidP="005E1CE3">
      <w:pPr>
        <w:pStyle w:val="ListParagraph"/>
        <w:numPr>
          <w:ilvl w:val="2"/>
          <w:numId w:val="9"/>
        </w:numPr>
        <w:spacing w:after="120" w:line="259" w:lineRule="auto"/>
        <w:rPr>
          <w:rFonts w:cs="Arial"/>
        </w:rPr>
      </w:pPr>
      <w:r w:rsidRPr="008532D7">
        <w:rPr>
          <w:rFonts w:cs="Arial"/>
        </w:rPr>
        <w:t xml:space="preserve">Identified that there are still challenges around contamination of the food waste bins and dry mixed recycling bins, along with </w:t>
      </w:r>
      <w:r w:rsidR="00A325C9" w:rsidRPr="008532D7">
        <w:rPr>
          <w:rFonts w:cs="Arial"/>
        </w:rPr>
        <w:t>low participation in some areas</w:t>
      </w:r>
    </w:p>
    <w:p w14:paraId="1D746AA1" w14:textId="10B4BAA1" w:rsidR="001D6825" w:rsidRPr="008532D7" w:rsidRDefault="00A325C9" w:rsidP="005E1CE3">
      <w:pPr>
        <w:pStyle w:val="ListParagraph"/>
        <w:numPr>
          <w:ilvl w:val="2"/>
          <w:numId w:val="9"/>
        </w:numPr>
        <w:spacing w:after="120" w:line="259" w:lineRule="auto"/>
        <w:rPr>
          <w:rFonts w:cs="Arial"/>
        </w:rPr>
      </w:pPr>
      <w:r w:rsidRPr="008532D7">
        <w:rPr>
          <w:rFonts w:cs="Arial"/>
        </w:rPr>
        <w:lastRenderedPageBreak/>
        <w:t>Project involves u</w:t>
      </w:r>
      <w:r w:rsidR="00074D47" w:rsidRPr="008532D7">
        <w:rPr>
          <w:rFonts w:cs="Arial"/>
        </w:rPr>
        <w:t>ndertak</w:t>
      </w:r>
      <w:r w:rsidRPr="008532D7">
        <w:rPr>
          <w:rFonts w:cs="Arial"/>
        </w:rPr>
        <w:t>ing</w:t>
      </w:r>
      <w:r w:rsidR="00074D47" w:rsidRPr="008532D7">
        <w:rPr>
          <w:rFonts w:cs="Arial"/>
        </w:rPr>
        <w:t xml:space="preserve"> a Borough-wide review of all the communal bin store areas to identify </w:t>
      </w:r>
      <w:r w:rsidR="00B77F84" w:rsidRPr="008532D7">
        <w:rPr>
          <w:rFonts w:cs="Arial"/>
        </w:rPr>
        <w:t xml:space="preserve">top 20 most challenging sites </w:t>
      </w:r>
      <w:r w:rsidR="00FE563D" w:rsidRPr="008532D7">
        <w:rPr>
          <w:rFonts w:cs="Arial"/>
        </w:rPr>
        <w:t>in regard to</w:t>
      </w:r>
      <w:r w:rsidR="00B77F84" w:rsidRPr="008532D7">
        <w:rPr>
          <w:rFonts w:cs="Arial"/>
        </w:rPr>
        <w:t xml:space="preserve"> use, space</w:t>
      </w:r>
      <w:r w:rsidR="002C1700" w:rsidRPr="008532D7">
        <w:rPr>
          <w:rFonts w:cs="Arial"/>
        </w:rPr>
        <w:t xml:space="preserve"> and</w:t>
      </w:r>
      <w:r w:rsidR="00B77F84" w:rsidRPr="008532D7">
        <w:rPr>
          <w:rFonts w:cs="Arial"/>
        </w:rPr>
        <w:t xml:space="preserve"> infrastructure</w:t>
      </w:r>
      <w:r w:rsidR="002C1700" w:rsidRPr="008532D7">
        <w:rPr>
          <w:rFonts w:cs="Arial"/>
        </w:rPr>
        <w:t xml:space="preserve"> requirements</w:t>
      </w:r>
    </w:p>
    <w:p w14:paraId="6A189EE9" w14:textId="16D25642" w:rsidR="002C1700" w:rsidRPr="008532D7" w:rsidRDefault="00993E91" w:rsidP="005E1CE3">
      <w:pPr>
        <w:pStyle w:val="ListParagraph"/>
        <w:numPr>
          <w:ilvl w:val="2"/>
          <w:numId w:val="9"/>
        </w:numPr>
        <w:spacing w:after="120" w:line="259" w:lineRule="auto"/>
        <w:rPr>
          <w:rFonts w:cs="Arial"/>
        </w:rPr>
      </w:pPr>
      <w:r>
        <w:rPr>
          <w:rFonts w:cs="Arial"/>
        </w:rPr>
        <w:t>Then to d</w:t>
      </w:r>
      <w:r w:rsidR="002C1700" w:rsidRPr="008532D7">
        <w:rPr>
          <w:rFonts w:cs="Arial"/>
        </w:rPr>
        <w:t xml:space="preserve">evelop </w:t>
      </w:r>
      <w:r w:rsidR="00CB43F8" w:rsidRPr="008532D7">
        <w:rPr>
          <w:rFonts w:cs="Arial"/>
        </w:rPr>
        <w:t xml:space="preserve">and implement </w:t>
      </w:r>
      <w:r w:rsidR="002C1700" w:rsidRPr="008532D7">
        <w:rPr>
          <w:rFonts w:cs="Arial"/>
        </w:rPr>
        <w:t>action plan</w:t>
      </w:r>
      <w:r w:rsidR="00CB43F8" w:rsidRPr="008532D7">
        <w:rPr>
          <w:rFonts w:cs="Arial"/>
        </w:rPr>
        <w:t>s</w:t>
      </w:r>
      <w:r w:rsidR="002C1700" w:rsidRPr="008532D7">
        <w:rPr>
          <w:rFonts w:cs="Arial"/>
        </w:rPr>
        <w:t xml:space="preserve"> for each site </w:t>
      </w:r>
      <w:r w:rsidR="0038054A" w:rsidRPr="008532D7">
        <w:rPr>
          <w:rFonts w:cs="Arial"/>
        </w:rPr>
        <w:t>to address key barriers to recycling with a focus on food waste recycling</w:t>
      </w:r>
    </w:p>
    <w:p w14:paraId="0B0228A9" w14:textId="5625D890" w:rsidR="00691D25" w:rsidRPr="008532D7" w:rsidRDefault="00691D25" w:rsidP="00BF206B">
      <w:pPr>
        <w:pStyle w:val="ListParagraph"/>
        <w:numPr>
          <w:ilvl w:val="1"/>
          <w:numId w:val="3"/>
        </w:numPr>
        <w:spacing w:after="120" w:line="259" w:lineRule="auto"/>
        <w:ind w:left="709" w:hanging="709"/>
        <w:rPr>
          <w:rFonts w:cs="Arial"/>
        </w:rPr>
      </w:pPr>
      <w:r w:rsidRPr="008532D7">
        <w:rPr>
          <w:rFonts w:cs="Arial"/>
        </w:rPr>
        <w:t>Flats above shops</w:t>
      </w:r>
    </w:p>
    <w:p w14:paraId="340D01FD" w14:textId="4FA93536" w:rsidR="008532D7" w:rsidRPr="00352558" w:rsidRDefault="008532D7" w:rsidP="005E1CE3">
      <w:pPr>
        <w:pStyle w:val="ListParagraph"/>
        <w:numPr>
          <w:ilvl w:val="2"/>
          <w:numId w:val="10"/>
        </w:numPr>
        <w:spacing w:after="120" w:line="259" w:lineRule="auto"/>
        <w:rPr>
          <w:rFonts w:cs="Arial"/>
          <w:b/>
          <w:bCs/>
        </w:rPr>
      </w:pPr>
      <w:r>
        <w:rPr>
          <w:rFonts w:cs="Arial"/>
        </w:rPr>
        <w:t xml:space="preserve">Properties of this type are still to obtain access to facilities to recycle their food waste. </w:t>
      </w:r>
      <w:r w:rsidR="00993E91">
        <w:rPr>
          <w:rFonts w:cs="Arial"/>
        </w:rPr>
        <w:t>Therefore,</w:t>
      </w:r>
      <w:r>
        <w:rPr>
          <w:rFonts w:cs="Arial"/>
        </w:rPr>
        <w:t xml:space="preserve"> </w:t>
      </w:r>
      <w:r w:rsidR="00993E91">
        <w:rPr>
          <w:rFonts w:cs="Arial"/>
        </w:rPr>
        <w:t xml:space="preserve">it was </w:t>
      </w:r>
      <w:r>
        <w:rPr>
          <w:rFonts w:cs="Arial"/>
        </w:rPr>
        <w:t>deemed appropriate to address this as part of the project to ensure fair and equal access to all waste and recycling services across the Borough</w:t>
      </w:r>
    </w:p>
    <w:p w14:paraId="296B3322" w14:textId="3AC74F2C" w:rsidR="00352558" w:rsidRPr="00E92F32" w:rsidRDefault="00352558" w:rsidP="005E1CE3">
      <w:pPr>
        <w:pStyle w:val="ListParagraph"/>
        <w:numPr>
          <w:ilvl w:val="2"/>
          <w:numId w:val="10"/>
        </w:numPr>
        <w:spacing w:after="120" w:line="259" w:lineRule="auto"/>
        <w:rPr>
          <w:rFonts w:cs="Arial"/>
          <w:b/>
          <w:bCs/>
        </w:rPr>
      </w:pPr>
      <w:r>
        <w:rPr>
          <w:rFonts w:cs="Arial"/>
        </w:rPr>
        <w:t>Flats above shops tend to have limited space and challenging environments around share requirements of what space is available</w:t>
      </w:r>
    </w:p>
    <w:p w14:paraId="0B351192" w14:textId="75CDA5A9" w:rsidR="00E92F32" w:rsidRPr="00153FAA" w:rsidRDefault="00E92F32" w:rsidP="005E1CE3">
      <w:pPr>
        <w:pStyle w:val="ListParagraph"/>
        <w:numPr>
          <w:ilvl w:val="2"/>
          <w:numId w:val="10"/>
        </w:numPr>
        <w:spacing w:after="120" w:line="259" w:lineRule="auto"/>
        <w:rPr>
          <w:rFonts w:cs="Arial"/>
          <w:b/>
          <w:bCs/>
        </w:rPr>
      </w:pPr>
      <w:r>
        <w:rPr>
          <w:rFonts w:cs="Arial"/>
        </w:rPr>
        <w:t xml:space="preserve">Project aims to look for a correlation between those flats above shops and identified commercial food waste premises </w:t>
      </w:r>
      <w:r w:rsidR="00EC6134">
        <w:rPr>
          <w:rFonts w:cs="Arial"/>
        </w:rPr>
        <w:t xml:space="preserve">where </w:t>
      </w:r>
      <w:r w:rsidR="005A7E50">
        <w:rPr>
          <w:rFonts w:cs="Arial"/>
        </w:rPr>
        <w:t xml:space="preserve">there is the potential for shared resources around </w:t>
      </w:r>
      <w:r w:rsidR="00927BAB">
        <w:rPr>
          <w:rFonts w:cs="Arial"/>
        </w:rPr>
        <w:t xml:space="preserve">storage capacity for food waste recycling. This will also increase feasibility and </w:t>
      </w:r>
      <w:r w:rsidR="00153FAA">
        <w:rPr>
          <w:rFonts w:cs="Arial"/>
        </w:rPr>
        <w:t>appeal</w:t>
      </w:r>
      <w:r w:rsidR="00927BAB">
        <w:rPr>
          <w:rFonts w:cs="Arial"/>
        </w:rPr>
        <w:t xml:space="preserve"> of food waste recycling for businesses.</w:t>
      </w:r>
    </w:p>
    <w:p w14:paraId="6D594AE3" w14:textId="7928F353" w:rsidR="00153FAA" w:rsidRPr="00153FAA" w:rsidRDefault="00153FAA" w:rsidP="00BF206B">
      <w:pPr>
        <w:pStyle w:val="ListParagraph"/>
        <w:numPr>
          <w:ilvl w:val="1"/>
          <w:numId w:val="3"/>
        </w:numPr>
        <w:spacing w:after="120" w:line="259" w:lineRule="auto"/>
        <w:ind w:left="709" w:hanging="709"/>
        <w:rPr>
          <w:rFonts w:cs="Arial"/>
          <w:b/>
          <w:bCs/>
        </w:rPr>
      </w:pPr>
      <w:r>
        <w:rPr>
          <w:rFonts w:cs="Arial"/>
        </w:rPr>
        <w:t>Engagement and communications</w:t>
      </w:r>
    </w:p>
    <w:p w14:paraId="330BA6A6" w14:textId="09F775DF" w:rsidR="00153FAA" w:rsidRPr="003800A9" w:rsidRDefault="004D6831" w:rsidP="005E1CE3">
      <w:pPr>
        <w:pStyle w:val="ListParagraph"/>
        <w:numPr>
          <w:ilvl w:val="2"/>
          <w:numId w:val="11"/>
        </w:numPr>
        <w:spacing w:after="120" w:line="259" w:lineRule="auto"/>
        <w:rPr>
          <w:rFonts w:cs="Arial"/>
        </w:rPr>
      </w:pPr>
      <w:r w:rsidRPr="003800A9">
        <w:rPr>
          <w:rFonts w:cs="Arial"/>
        </w:rPr>
        <w:t>Engagement and appropriate communications will be key to ensuring the success of any change / addition in service provision</w:t>
      </w:r>
    </w:p>
    <w:p w14:paraId="7571AC99" w14:textId="61E5FA97" w:rsidR="004D6831" w:rsidRPr="003800A9" w:rsidRDefault="004D6831" w:rsidP="005E1CE3">
      <w:pPr>
        <w:pStyle w:val="ListParagraph"/>
        <w:numPr>
          <w:ilvl w:val="2"/>
          <w:numId w:val="11"/>
        </w:numPr>
        <w:spacing w:after="120" w:line="259" w:lineRule="auto"/>
        <w:rPr>
          <w:rFonts w:cs="Arial"/>
        </w:rPr>
      </w:pPr>
      <w:r w:rsidRPr="003800A9">
        <w:rPr>
          <w:rFonts w:cs="Arial"/>
        </w:rPr>
        <w:t xml:space="preserve">The project will develop </w:t>
      </w:r>
      <w:r w:rsidR="0040637C" w:rsidRPr="003800A9">
        <w:rPr>
          <w:rFonts w:cs="Arial"/>
        </w:rPr>
        <w:t>new signage and other communications collateral that will support the service delivery</w:t>
      </w:r>
    </w:p>
    <w:p w14:paraId="4ECB66EB" w14:textId="4D25720F" w:rsidR="0040637C" w:rsidRDefault="0040637C" w:rsidP="005E1CE3">
      <w:pPr>
        <w:pStyle w:val="ListParagraph"/>
        <w:numPr>
          <w:ilvl w:val="2"/>
          <w:numId w:val="11"/>
        </w:numPr>
        <w:spacing w:after="120" w:line="259" w:lineRule="auto"/>
        <w:rPr>
          <w:rFonts w:cs="Arial"/>
        </w:rPr>
      </w:pPr>
      <w:r w:rsidRPr="003800A9">
        <w:rPr>
          <w:rFonts w:cs="Arial"/>
        </w:rPr>
        <w:t>Direct engagement with applicable letting agents, managing agents, landlords and residents will be undertaken to ensure success of any changes</w:t>
      </w:r>
    </w:p>
    <w:p w14:paraId="3D0D15E7" w14:textId="216003B4" w:rsidR="00BF206B" w:rsidRPr="00740D96" w:rsidRDefault="004759F3" w:rsidP="00D36E51">
      <w:pPr>
        <w:pStyle w:val="ListParagraph"/>
        <w:numPr>
          <w:ilvl w:val="2"/>
          <w:numId w:val="11"/>
        </w:numPr>
        <w:spacing w:after="120" w:line="259" w:lineRule="auto"/>
        <w:rPr>
          <w:b/>
          <w:bCs/>
          <w:szCs w:val="24"/>
          <w:u w:val="single"/>
        </w:rPr>
      </w:pPr>
      <w:r w:rsidRPr="00740D96">
        <w:rPr>
          <w:rFonts w:cs="Arial"/>
        </w:rPr>
        <w:t xml:space="preserve">Engagement with applicable ward councillors </w:t>
      </w:r>
      <w:r w:rsidR="001429B2" w:rsidRPr="00740D96">
        <w:rPr>
          <w:rFonts w:cs="Arial"/>
        </w:rPr>
        <w:t>to ensure buy-in and support of the project</w:t>
      </w:r>
      <w:r w:rsidR="00BF206B" w:rsidRPr="00740D96">
        <w:rPr>
          <w:b/>
          <w:bCs/>
          <w:szCs w:val="24"/>
          <w:u w:val="single"/>
        </w:rPr>
        <w:br w:type="page"/>
      </w:r>
    </w:p>
    <w:p w14:paraId="37D24DB8" w14:textId="5428D1FF" w:rsidR="00446DDE" w:rsidRPr="00F14592" w:rsidRDefault="00917FAF" w:rsidP="00BF206B">
      <w:pPr>
        <w:pStyle w:val="ListParagraph"/>
        <w:numPr>
          <w:ilvl w:val="0"/>
          <w:numId w:val="3"/>
        </w:numPr>
        <w:spacing w:after="120" w:line="259" w:lineRule="auto"/>
        <w:rPr>
          <w:rFonts w:cs="Arial"/>
          <w:b/>
          <w:bCs/>
          <w:u w:val="single"/>
        </w:rPr>
      </w:pPr>
      <w:r>
        <w:rPr>
          <w:b/>
          <w:bCs/>
          <w:szCs w:val="24"/>
          <w:u w:val="single"/>
        </w:rPr>
        <w:lastRenderedPageBreak/>
        <w:t>DELIVERY</w:t>
      </w:r>
    </w:p>
    <w:p w14:paraId="63FD492A" w14:textId="21FEF9E0" w:rsidR="00055A90" w:rsidRDefault="00055A90" w:rsidP="00BF206B">
      <w:pPr>
        <w:pStyle w:val="ListParagraph"/>
        <w:numPr>
          <w:ilvl w:val="1"/>
          <w:numId w:val="3"/>
        </w:numPr>
        <w:spacing w:after="120" w:line="259" w:lineRule="auto"/>
        <w:rPr>
          <w:rFonts w:cs="Arial"/>
        </w:rPr>
      </w:pPr>
      <w:r>
        <w:rPr>
          <w:rFonts w:cs="Arial"/>
        </w:rPr>
        <w:t>High level timeline</w:t>
      </w:r>
    </w:p>
    <w:tbl>
      <w:tblPr>
        <w:tblStyle w:val="TableGrid"/>
        <w:tblW w:w="10103" w:type="dxa"/>
        <w:tblInd w:w="-714" w:type="dxa"/>
        <w:tblLayout w:type="fixed"/>
        <w:tblLook w:val="04A0" w:firstRow="1" w:lastRow="0" w:firstColumn="1" w:lastColumn="0" w:noHBand="0" w:noVBand="1"/>
      </w:tblPr>
      <w:tblGrid>
        <w:gridCol w:w="562"/>
        <w:gridCol w:w="198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40"/>
        <w:gridCol w:w="236"/>
        <w:gridCol w:w="236"/>
        <w:gridCol w:w="236"/>
        <w:gridCol w:w="236"/>
        <w:gridCol w:w="236"/>
        <w:gridCol w:w="236"/>
        <w:gridCol w:w="236"/>
        <w:gridCol w:w="236"/>
      </w:tblGrid>
      <w:tr w:rsidR="00055A90" w:rsidRPr="00641D4C" w14:paraId="2A5205CC" w14:textId="77777777" w:rsidTr="00BF2C27">
        <w:tc>
          <w:tcPr>
            <w:tcW w:w="562" w:type="dxa"/>
            <w:shd w:val="clear" w:color="auto" w:fill="D9D9D9" w:themeFill="background1" w:themeFillShade="D9"/>
            <w:vAlign w:val="center"/>
          </w:tcPr>
          <w:p w14:paraId="407A8147" w14:textId="77777777" w:rsidR="00055A90" w:rsidRPr="00641D4C" w:rsidRDefault="00055A90" w:rsidP="00BF2C27">
            <w:pPr>
              <w:jc w:val="center"/>
              <w:rPr>
                <w:rFonts w:cs="Arial"/>
                <w:b/>
                <w:bCs/>
                <w:sz w:val="20"/>
              </w:rPr>
            </w:pPr>
            <w:r w:rsidRPr="00641D4C">
              <w:rPr>
                <w:rFonts w:cs="Arial"/>
                <w:b/>
                <w:bCs/>
                <w:sz w:val="20"/>
              </w:rPr>
              <w:t>Ref</w:t>
            </w:r>
          </w:p>
        </w:tc>
        <w:tc>
          <w:tcPr>
            <w:tcW w:w="1985" w:type="dxa"/>
            <w:shd w:val="clear" w:color="auto" w:fill="D9D9D9" w:themeFill="background1" w:themeFillShade="D9"/>
            <w:vAlign w:val="center"/>
          </w:tcPr>
          <w:p w14:paraId="36BE67E5" w14:textId="77777777" w:rsidR="00055A90" w:rsidRPr="00641D4C" w:rsidRDefault="00055A90" w:rsidP="00BF2C27">
            <w:pPr>
              <w:jc w:val="center"/>
              <w:rPr>
                <w:rFonts w:cs="Arial"/>
                <w:b/>
                <w:bCs/>
                <w:sz w:val="20"/>
              </w:rPr>
            </w:pPr>
            <w:r>
              <w:rPr>
                <w:rFonts w:cs="Arial"/>
                <w:b/>
                <w:bCs/>
                <w:sz w:val="20"/>
              </w:rPr>
              <w:t>Action</w:t>
            </w:r>
          </w:p>
        </w:tc>
        <w:tc>
          <w:tcPr>
            <w:tcW w:w="944" w:type="dxa"/>
            <w:gridSpan w:val="4"/>
            <w:tcBorders>
              <w:bottom w:val="single" w:sz="4" w:space="0" w:color="auto"/>
            </w:tcBorders>
            <w:shd w:val="clear" w:color="auto" w:fill="D9D9D9" w:themeFill="background1" w:themeFillShade="D9"/>
          </w:tcPr>
          <w:p w14:paraId="41A493A2" w14:textId="77777777" w:rsidR="00055A90" w:rsidRPr="00641D4C" w:rsidRDefault="00055A90" w:rsidP="00BF2C27">
            <w:pPr>
              <w:jc w:val="center"/>
              <w:rPr>
                <w:rFonts w:cs="Arial"/>
                <w:b/>
                <w:bCs/>
                <w:sz w:val="20"/>
              </w:rPr>
            </w:pPr>
            <w:r w:rsidRPr="00641D4C">
              <w:rPr>
                <w:rFonts w:cs="Arial"/>
                <w:b/>
                <w:bCs/>
                <w:sz w:val="20"/>
              </w:rPr>
              <w:t>Mar-21</w:t>
            </w:r>
          </w:p>
        </w:tc>
        <w:tc>
          <w:tcPr>
            <w:tcW w:w="944" w:type="dxa"/>
            <w:gridSpan w:val="4"/>
            <w:tcBorders>
              <w:bottom w:val="single" w:sz="4" w:space="0" w:color="auto"/>
            </w:tcBorders>
            <w:shd w:val="clear" w:color="auto" w:fill="D9D9D9" w:themeFill="background1" w:themeFillShade="D9"/>
          </w:tcPr>
          <w:p w14:paraId="61C086B7" w14:textId="77777777" w:rsidR="00055A90" w:rsidRPr="00641D4C" w:rsidRDefault="00055A90" w:rsidP="00BF2C27">
            <w:pPr>
              <w:jc w:val="center"/>
              <w:rPr>
                <w:rFonts w:cs="Arial"/>
                <w:b/>
                <w:bCs/>
                <w:sz w:val="20"/>
              </w:rPr>
            </w:pPr>
            <w:r w:rsidRPr="00641D4C">
              <w:rPr>
                <w:rFonts w:cs="Arial"/>
                <w:b/>
                <w:bCs/>
                <w:sz w:val="20"/>
              </w:rPr>
              <w:t>Apr-21</w:t>
            </w:r>
          </w:p>
        </w:tc>
        <w:tc>
          <w:tcPr>
            <w:tcW w:w="944" w:type="dxa"/>
            <w:gridSpan w:val="4"/>
            <w:tcBorders>
              <w:bottom w:val="single" w:sz="4" w:space="0" w:color="auto"/>
            </w:tcBorders>
            <w:shd w:val="clear" w:color="auto" w:fill="D9D9D9" w:themeFill="background1" w:themeFillShade="D9"/>
          </w:tcPr>
          <w:p w14:paraId="31FD04A8" w14:textId="77777777" w:rsidR="00055A90" w:rsidRPr="00641D4C" w:rsidRDefault="00055A90" w:rsidP="00BF2C27">
            <w:pPr>
              <w:jc w:val="center"/>
              <w:rPr>
                <w:rFonts w:cs="Arial"/>
                <w:b/>
                <w:bCs/>
                <w:sz w:val="20"/>
              </w:rPr>
            </w:pPr>
            <w:r w:rsidRPr="00641D4C">
              <w:rPr>
                <w:rFonts w:cs="Arial"/>
                <w:b/>
                <w:bCs/>
                <w:sz w:val="20"/>
              </w:rPr>
              <w:t>May-21</w:t>
            </w:r>
          </w:p>
        </w:tc>
        <w:tc>
          <w:tcPr>
            <w:tcW w:w="944" w:type="dxa"/>
            <w:gridSpan w:val="4"/>
            <w:tcBorders>
              <w:bottom w:val="single" w:sz="4" w:space="0" w:color="auto"/>
            </w:tcBorders>
            <w:shd w:val="clear" w:color="auto" w:fill="D9D9D9" w:themeFill="background1" w:themeFillShade="D9"/>
          </w:tcPr>
          <w:p w14:paraId="52A86344" w14:textId="77777777" w:rsidR="00055A90" w:rsidRPr="00641D4C" w:rsidRDefault="00055A90" w:rsidP="00BF2C27">
            <w:pPr>
              <w:jc w:val="center"/>
              <w:rPr>
                <w:rFonts w:cs="Arial"/>
                <w:b/>
                <w:bCs/>
                <w:sz w:val="20"/>
              </w:rPr>
            </w:pPr>
            <w:r w:rsidRPr="00641D4C">
              <w:rPr>
                <w:rFonts w:cs="Arial"/>
                <w:b/>
                <w:bCs/>
                <w:sz w:val="20"/>
              </w:rPr>
              <w:t>Jun-21</w:t>
            </w:r>
          </w:p>
        </w:tc>
        <w:tc>
          <w:tcPr>
            <w:tcW w:w="944" w:type="dxa"/>
            <w:gridSpan w:val="4"/>
            <w:tcBorders>
              <w:bottom w:val="single" w:sz="4" w:space="0" w:color="auto"/>
            </w:tcBorders>
            <w:shd w:val="clear" w:color="auto" w:fill="D9D9D9" w:themeFill="background1" w:themeFillShade="D9"/>
          </w:tcPr>
          <w:p w14:paraId="20F5176C" w14:textId="77777777" w:rsidR="00055A90" w:rsidRPr="00641D4C" w:rsidRDefault="00055A90" w:rsidP="00BF2C27">
            <w:pPr>
              <w:jc w:val="center"/>
              <w:rPr>
                <w:rFonts w:cs="Arial"/>
                <w:b/>
                <w:bCs/>
                <w:sz w:val="20"/>
              </w:rPr>
            </w:pPr>
            <w:r w:rsidRPr="00641D4C">
              <w:rPr>
                <w:rFonts w:cs="Arial"/>
                <w:b/>
                <w:bCs/>
                <w:sz w:val="20"/>
              </w:rPr>
              <w:t>Jul-21</w:t>
            </w:r>
          </w:p>
        </w:tc>
        <w:tc>
          <w:tcPr>
            <w:tcW w:w="948" w:type="dxa"/>
            <w:gridSpan w:val="4"/>
            <w:tcBorders>
              <w:bottom w:val="single" w:sz="4" w:space="0" w:color="auto"/>
            </w:tcBorders>
            <w:shd w:val="clear" w:color="auto" w:fill="D9D9D9" w:themeFill="background1" w:themeFillShade="D9"/>
          </w:tcPr>
          <w:p w14:paraId="75905D67" w14:textId="77777777" w:rsidR="00055A90" w:rsidRPr="00641D4C" w:rsidRDefault="00055A90" w:rsidP="00BF2C27">
            <w:pPr>
              <w:jc w:val="center"/>
              <w:rPr>
                <w:rFonts w:cs="Arial"/>
                <w:b/>
                <w:bCs/>
                <w:sz w:val="20"/>
              </w:rPr>
            </w:pPr>
            <w:r w:rsidRPr="00641D4C">
              <w:rPr>
                <w:rFonts w:cs="Arial"/>
                <w:b/>
                <w:bCs/>
                <w:sz w:val="20"/>
              </w:rPr>
              <w:t>Aug-21</w:t>
            </w:r>
          </w:p>
        </w:tc>
        <w:tc>
          <w:tcPr>
            <w:tcW w:w="944" w:type="dxa"/>
            <w:gridSpan w:val="4"/>
            <w:tcBorders>
              <w:bottom w:val="single" w:sz="4" w:space="0" w:color="auto"/>
            </w:tcBorders>
            <w:shd w:val="clear" w:color="auto" w:fill="D9D9D9" w:themeFill="background1" w:themeFillShade="D9"/>
          </w:tcPr>
          <w:p w14:paraId="3E5C2A16" w14:textId="77777777" w:rsidR="00055A90" w:rsidRPr="00641D4C" w:rsidRDefault="00055A90" w:rsidP="00BF2C27">
            <w:pPr>
              <w:jc w:val="center"/>
              <w:rPr>
                <w:rFonts w:cs="Arial"/>
                <w:b/>
                <w:bCs/>
                <w:sz w:val="20"/>
              </w:rPr>
            </w:pPr>
            <w:r w:rsidRPr="00641D4C">
              <w:rPr>
                <w:rFonts w:cs="Arial"/>
                <w:b/>
                <w:bCs/>
                <w:sz w:val="20"/>
              </w:rPr>
              <w:t>Sep-21</w:t>
            </w:r>
          </w:p>
        </w:tc>
        <w:tc>
          <w:tcPr>
            <w:tcW w:w="944" w:type="dxa"/>
            <w:gridSpan w:val="4"/>
            <w:tcBorders>
              <w:bottom w:val="single" w:sz="4" w:space="0" w:color="auto"/>
            </w:tcBorders>
            <w:shd w:val="clear" w:color="auto" w:fill="D9D9D9" w:themeFill="background1" w:themeFillShade="D9"/>
          </w:tcPr>
          <w:p w14:paraId="70C75698" w14:textId="77777777" w:rsidR="00055A90" w:rsidRPr="00641D4C" w:rsidRDefault="00055A90" w:rsidP="00BF2C27">
            <w:pPr>
              <w:jc w:val="center"/>
              <w:rPr>
                <w:rFonts w:cs="Arial"/>
                <w:b/>
                <w:bCs/>
                <w:sz w:val="20"/>
              </w:rPr>
            </w:pPr>
            <w:r w:rsidRPr="00641D4C">
              <w:rPr>
                <w:rFonts w:cs="Arial"/>
                <w:b/>
                <w:bCs/>
                <w:sz w:val="20"/>
              </w:rPr>
              <w:t>Oct-21</w:t>
            </w:r>
          </w:p>
        </w:tc>
      </w:tr>
      <w:tr w:rsidR="00055A90" w:rsidRPr="00641D4C" w14:paraId="4FB0B66E" w14:textId="77777777" w:rsidTr="00BF2C27">
        <w:tc>
          <w:tcPr>
            <w:tcW w:w="562" w:type="dxa"/>
            <w:vAlign w:val="center"/>
          </w:tcPr>
          <w:p w14:paraId="27B53143" w14:textId="77777777" w:rsidR="00055A90" w:rsidRPr="00641D4C" w:rsidRDefault="00055A90" w:rsidP="00BF2C27">
            <w:pPr>
              <w:jc w:val="center"/>
              <w:rPr>
                <w:rFonts w:cs="Arial"/>
                <w:sz w:val="20"/>
              </w:rPr>
            </w:pPr>
            <w:r w:rsidRPr="00641D4C">
              <w:rPr>
                <w:rFonts w:cs="Arial"/>
                <w:sz w:val="20"/>
              </w:rPr>
              <w:t>1</w:t>
            </w:r>
          </w:p>
        </w:tc>
        <w:tc>
          <w:tcPr>
            <w:tcW w:w="1985" w:type="dxa"/>
            <w:tcBorders>
              <w:right w:val="single" w:sz="4" w:space="0" w:color="auto"/>
            </w:tcBorders>
            <w:vAlign w:val="center"/>
          </w:tcPr>
          <w:p w14:paraId="6D2F9C1F" w14:textId="77777777" w:rsidR="00055A90" w:rsidRPr="00641D4C" w:rsidRDefault="00055A90" w:rsidP="00BF2C27">
            <w:pPr>
              <w:rPr>
                <w:rFonts w:cs="Arial"/>
                <w:sz w:val="20"/>
              </w:rPr>
            </w:pPr>
            <w:r w:rsidRPr="00641D4C">
              <w:rPr>
                <w:rFonts w:cs="Arial"/>
                <w:color w:val="000000"/>
                <w:sz w:val="20"/>
                <w:lang w:eastAsia="en-GB"/>
              </w:rPr>
              <w:t>Identify and confirm communal bin store pilot areas</w:t>
            </w:r>
          </w:p>
        </w:tc>
        <w:tc>
          <w:tcPr>
            <w:tcW w:w="236" w:type="dxa"/>
            <w:tcBorders>
              <w:top w:val="single" w:sz="4" w:space="0" w:color="auto"/>
              <w:left w:val="single" w:sz="4" w:space="0" w:color="auto"/>
              <w:bottom w:val="single" w:sz="4" w:space="0" w:color="auto"/>
              <w:right w:val="nil"/>
            </w:tcBorders>
          </w:tcPr>
          <w:p w14:paraId="568547B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21D64C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4CB0786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29077A75"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1EF1A41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3730A1B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FB85BB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3EA28552"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7BE1637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0B1D3C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116436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1E246C2F"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76570F8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4FBA0B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4450301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352C0DE"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28BDF9E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B2943C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918EA0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6BD5E640"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07EF26C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CB0628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5C1EADC" w14:textId="77777777" w:rsidR="00055A90" w:rsidRPr="00641D4C" w:rsidRDefault="00055A90" w:rsidP="00BF2C27">
            <w:pPr>
              <w:rPr>
                <w:rFonts w:cs="Arial"/>
                <w:sz w:val="20"/>
              </w:rPr>
            </w:pPr>
          </w:p>
        </w:tc>
        <w:tc>
          <w:tcPr>
            <w:tcW w:w="240" w:type="dxa"/>
            <w:tcBorders>
              <w:top w:val="single" w:sz="4" w:space="0" w:color="auto"/>
              <w:left w:val="nil"/>
              <w:bottom w:val="single" w:sz="4" w:space="0" w:color="auto"/>
              <w:right w:val="single" w:sz="4" w:space="0" w:color="auto"/>
            </w:tcBorders>
          </w:tcPr>
          <w:p w14:paraId="4B5BA468"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15BF034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BEC5D1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5BBB64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D4BF4B1"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45F707A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0EDC4AC"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C9ED20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63EB29D5" w14:textId="77777777" w:rsidR="00055A90" w:rsidRPr="00641D4C" w:rsidRDefault="00055A90" w:rsidP="00BF2C27">
            <w:pPr>
              <w:rPr>
                <w:rFonts w:cs="Arial"/>
                <w:sz w:val="20"/>
              </w:rPr>
            </w:pPr>
          </w:p>
        </w:tc>
      </w:tr>
      <w:tr w:rsidR="00055A90" w:rsidRPr="00641D4C" w14:paraId="52438177" w14:textId="77777777" w:rsidTr="00BF2C27">
        <w:tc>
          <w:tcPr>
            <w:tcW w:w="562" w:type="dxa"/>
            <w:vAlign w:val="center"/>
          </w:tcPr>
          <w:p w14:paraId="495382EF" w14:textId="77777777" w:rsidR="00055A90" w:rsidRPr="00641D4C" w:rsidRDefault="00055A90" w:rsidP="00BF2C27">
            <w:pPr>
              <w:jc w:val="center"/>
              <w:rPr>
                <w:rFonts w:cs="Arial"/>
                <w:sz w:val="20"/>
              </w:rPr>
            </w:pPr>
            <w:r>
              <w:rPr>
                <w:rFonts w:cs="Arial"/>
                <w:sz w:val="20"/>
              </w:rPr>
              <w:t>2</w:t>
            </w:r>
          </w:p>
        </w:tc>
        <w:tc>
          <w:tcPr>
            <w:tcW w:w="1985" w:type="dxa"/>
            <w:tcBorders>
              <w:right w:val="single" w:sz="4" w:space="0" w:color="auto"/>
            </w:tcBorders>
            <w:vAlign w:val="center"/>
          </w:tcPr>
          <w:p w14:paraId="23D2F706" w14:textId="77777777" w:rsidR="00055A90" w:rsidRPr="00641D4C" w:rsidRDefault="00055A90" w:rsidP="00BF2C27">
            <w:pPr>
              <w:rPr>
                <w:rFonts w:cs="Arial"/>
                <w:sz w:val="20"/>
              </w:rPr>
            </w:pPr>
            <w:r w:rsidRPr="00641D4C">
              <w:rPr>
                <w:rFonts w:cs="Arial"/>
                <w:color w:val="000000"/>
                <w:sz w:val="20"/>
                <w:lang w:eastAsia="en-GB"/>
              </w:rPr>
              <w:t>Site identification, assessment and agent engagement</w:t>
            </w:r>
          </w:p>
        </w:tc>
        <w:tc>
          <w:tcPr>
            <w:tcW w:w="236" w:type="dxa"/>
            <w:tcBorders>
              <w:top w:val="single" w:sz="4" w:space="0" w:color="auto"/>
              <w:left w:val="single" w:sz="4" w:space="0" w:color="auto"/>
              <w:bottom w:val="single" w:sz="4" w:space="0" w:color="auto"/>
              <w:right w:val="nil"/>
            </w:tcBorders>
          </w:tcPr>
          <w:p w14:paraId="6F5B5FB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F74EF9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41744B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6BB540A1"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237D5A4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1AFC032C"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5112721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4BB0DF82"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5B7B6CAB"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2904D24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3903FF2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696063B1"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31DD660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15A0D80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568BDC6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4E9267A7"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619F598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393A13B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0413298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6E2BDB0E"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237F93D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057340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C732490" w14:textId="77777777" w:rsidR="00055A90" w:rsidRPr="00641D4C" w:rsidRDefault="00055A90" w:rsidP="00BF2C27">
            <w:pPr>
              <w:rPr>
                <w:rFonts w:cs="Arial"/>
                <w:sz w:val="20"/>
              </w:rPr>
            </w:pPr>
          </w:p>
        </w:tc>
        <w:tc>
          <w:tcPr>
            <w:tcW w:w="240" w:type="dxa"/>
            <w:tcBorders>
              <w:top w:val="single" w:sz="4" w:space="0" w:color="auto"/>
              <w:left w:val="nil"/>
              <w:bottom w:val="single" w:sz="4" w:space="0" w:color="auto"/>
              <w:right w:val="single" w:sz="4" w:space="0" w:color="auto"/>
            </w:tcBorders>
          </w:tcPr>
          <w:p w14:paraId="484EA19F"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0B9B2D8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B2E429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8BCD38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1F0B9885"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1AE6DBD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58BAEE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AC2974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16338A0B" w14:textId="77777777" w:rsidR="00055A90" w:rsidRPr="00641D4C" w:rsidRDefault="00055A90" w:rsidP="00BF2C27">
            <w:pPr>
              <w:rPr>
                <w:rFonts w:cs="Arial"/>
                <w:sz w:val="20"/>
              </w:rPr>
            </w:pPr>
          </w:p>
        </w:tc>
      </w:tr>
      <w:tr w:rsidR="00055A90" w:rsidRPr="00641D4C" w14:paraId="2C612A31" w14:textId="77777777" w:rsidTr="00BF2C27">
        <w:trPr>
          <w:trHeight w:val="764"/>
        </w:trPr>
        <w:tc>
          <w:tcPr>
            <w:tcW w:w="562" w:type="dxa"/>
            <w:vAlign w:val="center"/>
          </w:tcPr>
          <w:p w14:paraId="02CA9849" w14:textId="77777777" w:rsidR="00055A90" w:rsidRPr="00641D4C" w:rsidRDefault="00055A90" w:rsidP="00BF2C27">
            <w:pPr>
              <w:jc w:val="center"/>
              <w:rPr>
                <w:rFonts w:cs="Arial"/>
                <w:sz w:val="20"/>
              </w:rPr>
            </w:pPr>
            <w:r>
              <w:rPr>
                <w:rFonts w:cs="Arial"/>
                <w:sz w:val="20"/>
              </w:rPr>
              <w:t>3</w:t>
            </w:r>
          </w:p>
        </w:tc>
        <w:tc>
          <w:tcPr>
            <w:tcW w:w="1985" w:type="dxa"/>
            <w:tcBorders>
              <w:right w:val="single" w:sz="4" w:space="0" w:color="auto"/>
            </w:tcBorders>
            <w:vAlign w:val="center"/>
          </w:tcPr>
          <w:p w14:paraId="3140EB22" w14:textId="77777777" w:rsidR="00055A90" w:rsidRPr="00641D4C" w:rsidRDefault="00055A90" w:rsidP="00BF2C27">
            <w:pPr>
              <w:rPr>
                <w:rFonts w:cs="Arial"/>
                <w:sz w:val="20"/>
              </w:rPr>
            </w:pPr>
            <w:r w:rsidRPr="00641D4C">
              <w:rPr>
                <w:rFonts w:cs="Arial"/>
                <w:color w:val="000000"/>
                <w:sz w:val="20"/>
                <w:lang w:eastAsia="en-GB"/>
              </w:rPr>
              <w:t>Procurement and purchase</w:t>
            </w:r>
          </w:p>
        </w:tc>
        <w:tc>
          <w:tcPr>
            <w:tcW w:w="236" w:type="dxa"/>
            <w:tcBorders>
              <w:top w:val="single" w:sz="4" w:space="0" w:color="auto"/>
              <w:left w:val="single" w:sz="4" w:space="0" w:color="auto"/>
              <w:bottom w:val="single" w:sz="4" w:space="0" w:color="auto"/>
              <w:right w:val="nil"/>
            </w:tcBorders>
          </w:tcPr>
          <w:p w14:paraId="22893D3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5FD300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D2780D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4F866FDA"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737DDD6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EA499A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4BA6993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150CA1E"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2366B36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35FD030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46692AFC"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4BA2D56C"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40E25BD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46EA052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1AD4459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5C7D9F72"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5A5AB51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64E2745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5E9736C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6A1C6693"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5E97F4C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0696A5A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C5CC676" w14:textId="77777777" w:rsidR="00055A90" w:rsidRPr="00641D4C" w:rsidRDefault="00055A90" w:rsidP="00BF2C27">
            <w:pPr>
              <w:rPr>
                <w:rFonts w:cs="Arial"/>
                <w:sz w:val="20"/>
              </w:rPr>
            </w:pPr>
          </w:p>
        </w:tc>
        <w:tc>
          <w:tcPr>
            <w:tcW w:w="240" w:type="dxa"/>
            <w:tcBorders>
              <w:top w:val="single" w:sz="4" w:space="0" w:color="auto"/>
              <w:left w:val="nil"/>
              <w:bottom w:val="single" w:sz="4" w:space="0" w:color="auto"/>
              <w:right w:val="single" w:sz="4" w:space="0" w:color="auto"/>
            </w:tcBorders>
          </w:tcPr>
          <w:p w14:paraId="6E3686D0"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3CDED39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4B69508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244309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2D0955B2"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5A2947A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CAEE87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D1A42A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37AE2F1" w14:textId="77777777" w:rsidR="00055A90" w:rsidRPr="00641D4C" w:rsidRDefault="00055A90" w:rsidP="00BF2C27">
            <w:pPr>
              <w:rPr>
                <w:rFonts w:cs="Arial"/>
                <w:sz w:val="20"/>
              </w:rPr>
            </w:pPr>
          </w:p>
        </w:tc>
      </w:tr>
      <w:tr w:rsidR="00055A90" w:rsidRPr="00641D4C" w14:paraId="52192586" w14:textId="77777777" w:rsidTr="00BF2C27">
        <w:trPr>
          <w:trHeight w:val="690"/>
        </w:trPr>
        <w:tc>
          <w:tcPr>
            <w:tcW w:w="562" w:type="dxa"/>
            <w:vAlign w:val="center"/>
          </w:tcPr>
          <w:p w14:paraId="269C7032" w14:textId="77777777" w:rsidR="00055A90" w:rsidRPr="00641D4C" w:rsidRDefault="00055A90" w:rsidP="00BF2C27">
            <w:pPr>
              <w:jc w:val="center"/>
              <w:rPr>
                <w:rFonts w:cs="Arial"/>
                <w:sz w:val="20"/>
              </w:rPr>
            </w:pPr>
            <w:r>
              <w:rPr>
                <w:rFonts w:cs="Arial"/>
                <w:sz w:val="20"/>
              </w:rPr>
              <w:t>4</w:t>
            </w:r>
          </w:p>
        </w:tc>
        <w:tc>
          <w:tcPr>
            <w:tcW w:w="1985" w:type="dxa"/>
            <w:tcBorders>
              <w:right w:val="single" w:sz="4" w:space="0" w:color="auto"/>
            </w:tcBorders>
            <w:vAlign w:val="center"/>
          </w:tcPr>
          <w:p w14:paraId="5A88F233" w14:textId="77777777" w:rsidR="00055A90" w:rsidRPr="00641D4C" w:rsidRDefault="00055A90" w:rsidP="00BF2C27">
            <w:pPr>
              <w:rPr>
                <w:rFonts w:cs="Arial"/>
                <w:sz w:val="20"/>
              </w:rPr>
            </w:pPr>
            <w:r w:rsidRPr="00641D4C">
              <w:rPr>
                <w:rFonts w:cs="Arial"/>
                <w:color w:val="000000"/>
                <w:sz w:val="20"/>
                <w:lang w:eastAsia="en-GB"/>
              </w:rPr>
              <w:t>Recruit Project Officer</w:t>
            </w:r>
          </w:p>
        </w:tc>
        <w:tc>
          <w:tcPr>
            <w:tcW w:w="236" w:type="dxa"/>
            <w:tcBorders>
              <w:top w:val="single" w:sz="4" w:space="0" w:color="auto"/>
              <w:left w:val="single" w:sz="4" w:space="0" w:color="auto"/>
              <w:bottom w:val="single" w:sz="4" w:space="0" w:color="auto"/>
              <w:right w:val="nil"/>
            </w:tcBorders>
          </w:tcPr>
          <w:p w14:paraId="52C065AB"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A09347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E2F009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3C376E23"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35890C2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5A4336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75493D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32B96DE3"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0EB966D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9AA597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1736CF2C"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2CB69397"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7348E21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4E159AB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DDC3D2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752324F5"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604DCDC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3DB3D9B"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CD72AA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58BAC6B"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6A6272B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DD7BB4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837B895" w14:textId="77777777" w:rsidR="00055A90" w:rsidRPr="00641D4C" w:rsidRDefault="00055A90" w:rsidP="00BF2C27">
            <w:pPr>
              <w:rPr>
                <w:rFonts w:cs="Arial"/>
                <w:sz w:val="20"/>
              </w:rPr>
            </w:pPr>
          </w:p>
        </w:tc>
        <w:tc>
          <w:tcPr>
            <w:tcW w:w="240" w:type="dxa"/>
            <w:tcBorders>
              <w:top w:val="single" w:sz="4" w:space="0" w:color="auto"/>
              <w:left w:val="nil"/>
              <w:bottom w:val="single" w:sz="4" w:space="0" w:color="auto"/>
              <w:right w:val="single" w:sz="4" w:space="0" w:color="auto"/>
            </w:tcBorders>
          </w:tcPr>
          <w:p w14:paraId="4CB0EB4B"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3A3F7AC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057138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794914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399576CE"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35FB90E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EF2E67B"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780BA2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4071355E" w14:textId="77777777" w:rsidR="00055A90" w:rsidRPr="00641D4C" w:rsidRDefault="00055A90" w:rsidP="00BF2C27">
            <w:pPr>
              <w:rPr>
                <w:rFonts w:cs="Arial"/>
                <w:sz w:val="20"/>
              </w:rPr>
            </w:pPr>
          </w:p>
        </w:tc>
      </w:tr>
      <w:tr w:rsidR="00055A90" w:rsidRPr="00641D4C" w14:paraId="224A6BDB" w14:textId="77777777" w:rsidTr="00BF2C27">
        <w:tc>
          <w:tcPr>
            <w:tcW w:w="562" w:type="dxa"/>
            <w:vAlign w:val="center"/>
          </w:tcPr>
          <w:p w14:paraId="29C15F5F" w14:textId="77777777" w:rsidR="00055A90" w:rsidRPr="00641D4C" w:rsidRDefault="00055A90" w:rsidP="00BF2C27">
            <w:pPr>
              <w:jc w:val="center"/>
              <w:rPr>
                <w:rFonts w:cs="Arial"/>
                <w:sz w:val="20"/>
              </w:rPr>
            </w:pPr>
            <w:r>
              <w:rPr>
                <w:rFonts w:cs="Arial"/>
                <w:sz w:val="20"/>
              </w:rPr>
              <w:t>5</w:t>
            </w:r>
          </w:p>
        </w:tc>
        <w:tc>
          <w:tcPr>
            <w:tcW w:w="1985" w:type="dxa"/>
            <w:tcBorders>
              <w:right w:val="single" w:sz="4" w:space="0" w:color="auto"/>
            </w:tcBorders>
            <w:vAlign w:val="center"/>
          </w:tcPr>
          <w:p w14:paraId="7A74833E" w14:textId="77777777" w:rsidR="00055A90" w:rsidRPr="00641D4C" w:rsidRDefault="00055A90" w:rsidP="00BF2C27">
            <w:pPr>
              <w:rPr>
                <w:rFonts w:cs="Arial"/>
                <w:sz w:val="20"/>
              </w:rPr>
            </w:pPr>
            <w:r w:rsidRPr="00641D4C">
              <w:rPr>
                <w:rFonts w:cs="Arial"/>
                <w:color w:val="000000"/>
                <w:sz w:val="20"/>
                <w:lang w:eastAsia="en-GB"/>
              </w:rPr>
              <w:t>Comms design and purchase of applicable collateral</w:t>
            </w:r>
          </w:p>
        </w:tc>
        <w:tc>
          <w:tcPr>
            <w:tcW w:w="236" w:type="dxa"/>
            <w:tcBorders>
              <w:top w:val="single" w:sz="4" w:space="0" w:color="auto"/>
              <w:left w:val="single" w:sz="4" w:space="0" w:color="auto"/>
              <w:bottom w:val="single" w:sz="4" w:space="0" w:color="auto"/>
              <w:right w:val="nil"/>
            </w:tcBorders>
          </w:tcPr>
          <w:p w14:paraId="62DBE98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99A60D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282FE6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1666F337"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068D3C2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3488BD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4129866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711517F8"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5145720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034C7A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3DCC36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374085E8"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415DE00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496983E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FF70B3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73752672"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7050E6E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6AB7707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1A61FD1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3C36305F"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05EA730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E4B5DB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C57C3BE" w14:textId="77777777" w:rsidR="00055A90" w:rsidRPr="00641D4C" w:rsidRDefault="00055A90" w:rsidP="00BF2C27">
            <w:pPr>
              <w:rPr>
                <w:rFonts w:cs="Arial"/>
                <w:sz w:val="20"/>
              </w:rPr>
            </w:pPr>
          </w:p>
        </w:tc>
        <w:tc>
          <w:tcPr>
            <w:tcW w:w="240" w:type="dxa"/>
            <w:tcBorders>
              <w:top w:val="single" w:sz="4" w:space="0" w:color="auto"/>
              <w:left w:val="nil"/>
              <w:bottom w:val="single" w:sz="4" w:space="0" w:color="auto"/>
              <w:right w:val="single" w:sz="4" w:space="0" w:color="auto"/>
            </w:tcBorders>
          </w:tcPr>
          <w:p w14:paraId="4DFD570B"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0B01272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4646C03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34872F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2D6F5309"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22D149E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20DD1C7"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735A07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F5A3259" w14:textId="77777777" w:rsidR="00055A90" w:rsidRPr="00641D4C" w:rsidRDefault="00055A90" w:rsidP="00BF2C27">
            <w:pPr>
              <w:rPr>
                <w:rFonts w:cs="Arial"/>
                <w:sz w:val="20"/>
              </w:rPr>
            </w:pPr>
          </w:p>
        </w:tc>
      </w:tr>
      <w:tr w:rsidR="00055A90" w:rsidRPr="00641D4C" w14:paraId="3C4C0B62" w14:textId="77777777" w:rsidTr="00BF2C27">
        <w:tc>
          <w:tcPr>
            <w:tcW w:w="562" w:type="dxa"/>
            <w:vAlign w:val="center"/>
          </w:tcPr>
          <w:p w14:paraId="1C187D23" w14:textId="77777777" w:rsidR="00055A90" w:rsidRPr="00641D4C" w:rsidRDefault="00055A90" w:rsidP="00BF2C27">
            <w:pPr>
              <w:jc w:val="center"/>
              <w:rPr>
                <w:rFonts w:cs="Arial"/>
                <w:sz w:val="20"/>
              </w:rPr>
            </w:pPr>
            <w:r>
              <w:rPr>
                <w:rFonts w:cs="Arial"/>
                <w:sz w:val="20"/>
              </w:rPr>
              <w:t>6</w:t>
            </w:r>
          </w:p>
        </w:tc>
        <w:tc>
          <w:tcPr>
            <w:tcW w:w="1985" w:type="dxa"/>
            <w:tcBorders>
              <w:right w:val="single" w:sz="4" w:space="0" w:color="auto"/>
            </w:tcBorders>
            <w:vAlign w:val="center"/>
          </w:tcPr>
          <w:p w14:paraId="7285739D" w14:textId="77777777" w:rsidR="00055A90" w:rsidRPr="00641D4C" w:rsidRDefault="00055A90" w:rsidP="00BF2C27">
            <w:pPr>
              <w:rPr>
                <w:rFonts w:cs="Arial"/>
                <w:sz w:val="20"/>
              </w:rPr>
            </w:pPr>
            <w:r w:rsidRPr="00641D4C">
              <w:rPr>
                <w:rFonts w:cs="Arial"/>
                <w:color w:val="000000"/>
                <w:sz w:val="20"/>
                <w:lang w:eastAsia="en-GB"/>
              </w:rPr>
              <w:t xml:space="preserve">Roll-out inc. bins, signage </w:t>
            </w:r>
            <w:r>
              <w:rPr>
                <w:rFonts w:cs="Arial"/>
                <w:color w:val="000000"/>
                <w:sz w:val="20"/>
                <w:lang w:eastAsia="en-GB"/>
              </w:rPr>
              <w:t>&amp;</w:t>
            </w:r>
            <w:r w:rsidRPr="00641D4C">
              <w:rPr>
                <w:rFonts w:cs="Arial"/>
                <w:color w:val="000000"/>
                <w:sz w:val="20"/>
                <w:lang w:eastAsia="en-GB"/>
              </w:rPr>
              <w:t xml:space="preserve"> </w:t>
            </w:r>
            <w:r>
              <w:rPr>
                <w:rFonts w:cs="Arial"/>
                <w:color w:val="000000"/>
                <w:sz w:val="20"/>
                <w:lang w:eastAsia="en-GB"/>
              </w:rPr>
              <w:t xml:space="preserve">resident </w:t>
            </w:r>
            <w:r w:rsidRPr="00641D4C">
              <w:rPr>
                <w:rFonts w:cs="Arial"/>
                <w:color w:val="000000"/>
                <w:sz w:val="20"/>
                <w:lang w:eastAsia="en-GB"/>
              </w:rPr>
              <w:t>engagement</w:t>
            </w:r>
          </w:p>
        </w:tc>
        <w:tc>
          <w:tcPr>
            <w:tcW w:w="236" w:type="dxa"/>
            <w:tcBorders>
              <w:top w:val="single" w:sz="4" w:space="0" w:color="auto"/>
              <w:left w:val="single" w:sz="4" w:space="0" w:color="auto"/>
              <w:bottom w:val="single" w:sz="4" w:space="0" w:color="auto"/>
              <w:right w:val="nil"/>
            </w:tcBorders>
          </w:tcPr>
          <w:p w14:paraId="04B14E5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1162BB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A976DA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4E56BAFE"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705090D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DD2726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D7AFC6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2232F835"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1868C0A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5B29CE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0394D0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214C4DCC"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07515F8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7CB9942"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38C36E8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3C747DBF"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5C08EB8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D400CB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7D3448D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9DBCFE0"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60C2A7CE"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26AC651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3EAF5310" w14:textId="77777777" w:rsidR="00055A90" w:rsidRPr="00641D4C" w:rsidRDefault="00055A90" w:rsidP="00BF2C27">
            <w:pPr>
              <w:rPr>
                <w:rFonts w:cs="Arial"/>
                <w:sz w:val="20"/>
              </w:rPr>
            </w:pPr>
          </w:p>
        </w:tc>
        <w:tc>
          <w:tcPr>
            <w:tcW w:w="240" w:type="dxa"/>
            <w:tcBorders>
              <w:top w:val="single" w:sz="4" w:space="0" w:color="auto"/>
              <w:left w:val="nil"/>
              <w:bottom w:val="single" w:sz="4" w:space="0" w:color="auto"/>
              <w:right w:val="single" w:sz="4" w:space="0" w:color="auto"/>
            </w:tcBorders>
            <w:shd w:val="clear" w:color="auto" w:fill="E5B8B7" w:themeFill="accent2" w:themeFillTint="66"/>
          </w:tcPr>
          <w:p w14:paraId="671264A0"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47AB49D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13C45F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0543F6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4B109713"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5680932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1D997A63"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3F8E52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1E7CFEEA" w14:textId="77777777" w:rsidR="00055A90" w:rsidRPr="00641D4C" w:rsidRDefault="00055A90" w:rsidP="00BF2C27">
            <w:pPr>
              <w:rPr>
                <w:rFonts w:cs="Arial"/>
                <w:sz w:val="20"/>
              </w:rPr>
            </w:pPr>
          </w:p>
        </w:tc>
      </w:tr>
      <w:tr w:rsidR="00055A90" w:rsidRPr="00641D4C" w14:paraId="6A143302" w14:textId="77777777" w:rsidTr="00BF2C27">
        <w:trPr>
          <w:trHeight w:val="780"/>
        </w:trPr>
        <w:tc>
          <w:tcPr>
            <w:tcW w:w="562" w:type="dxa"/>
            <w:tcBorders>
              <w:bottom w:val="single" w:sz="4" w:space="0" w:color="auto"/>
            </w:tcBorders>
            <w:vAlign w:val="center"/>
          </w:tcPr>
          <w:p w14:paraId="4C5D872B" w14:textId="77777777" w:rsidR="00055A90" w:rsidRPr="00641D4C" w:rsidRDefault="00055A90" w:rsidP="00BF2C27">
            <w:pPr>
              <w:jc w:val="center"/>
              <w:rPr>
                <w:rFonts w:cs="Arial"/>
                <w:sz w:val="20"/>
              </w:rPr>
            </w:pPr>
            <w:r>
              <w:rPr>
                <w:rFonts w:cs="Arial"/>
                <w:sz w:val="20"/>
              </w:rPr>
              <w:t>7</w:t>
            </w:r>
          </w:p>
        </w:tc>
        <w:tc>
          <w:tcPr>
            <w:tcW w:w="1985" w:type="dxa"/>
            <w:tcBorders>
              <w:bottom w:val="single" w:sz="4" w:space="0" w:color="auto"/>
              <w:right w:val="single" w:sz="4" w:space="0" w:color="auto"/>
            </w:tcBorders>
            <w:vAlign w:val="center"/>
          </w:tcPr>
          <w:p w14:paraId="3B174AEC" w14:textId="77777777" w:rsidR="00055A90" w:rsidRPr="00641D4C" w:rsidRDefault="00055A90" w:rsidP="00BF2C27">
            <w:pPr>
              <w:rPr>
                <w:rFonts w:cs="Arial"/>
                <w:sz w:val="20"/>
              </w:rPr>
            </w:pPr>
            <w:r w:rsidRPr="00641D4C">
              <w:rPr>
                <w:rFonts w:cs="Arial"/>
                <w:color w:val="000000"/>
                <w:sz w:val="20"/>
                <w:lang w:eastAsia="en-GB"/>
              </w:rPr>
              <w:t>Monitoring - pre, during and post</w:t>
            </w:r>
          </w:p>
        </w:tc>
        <w:tc>
          <w:tcPr>
            <w:tcW w:w="236" w:type="dxa"/>
            <w:tcBorders>
              <w:top w:val="single" w:sz="4" w:space="0" w:color="auto"/>
              <w:left w:val="single" w:sz="4" w:space="0" w:color="auto"/>
              <w:bottom w:val="single" w:sz="4" w:space="0" w:color="auto"/>
              <w:right w:val="nil"/>
            </w:tcBorders>
          </w:tcPr>
          <w:p w14:paraId="07A2127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FAADA5C"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887DCAF"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5F29D05B"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622B286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CB995C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66B3495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07112683"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37FF20E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519DB89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2ABFA365"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14EC1D0E"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tcPr>
          <w:p w14:paraId="412360E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5485376"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42B6806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6E69B607"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687921F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0A19625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0ADE7A60"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14097564"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49E93FDD"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1443E684"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0BEF18A5" w14:textId="77777777" w:rsidR="00055A90" w:rsidRPr="00641D4C" w:rsidRDefault="00055A90" w:rsidP="00BF2C27">
            <w:pPr>
              <w:rPr>
                <w:rFonts w:cs="Arial"/>
                <w:sz w:val="20"/>
              </w:rPr>
            </w:pPr>
          </w:p>
        </w:tc>
        <w:tc>
          <w:tcPr>
            <w:tcW w:w="240" w:type="dxa"/>
            <w:tcBorders>
              <w:top w:val="single" w:sz="4" w:space="0" w:color="auto"/>
              <w:left w:val="nil"/>
              <w:bottom w:val="single" w:sz="4" w:space="0" w:color="auto"/>
              <w:right w:val="single" w:sz="4" w:space="0" w:color="auto"/>
            </w:tcBorders>
            <w:shd w:val="clear" w:color="auto" w:fill="E5B8B7" w:themeFill="accent2" w:themeFillTint="66"/>
          </w:tcPr>
          <w:p w14:paraId="6E911861"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4F61220C"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5C63F3E9"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01910B6A"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shd w:val="clear" w:color="auto" w:fill="E5B8B7" w:themeFill="accent2" w:themeFillTint="66"/>
          </w:tcPr>
          <w:p w14:paraId="346F85D9" w14:textId="77777777" w:rsidR="00055A90" w:rsidRPr="00641D4C" w:rsidRDefault="00055A90" w:rsidP="00BF2C27">
            <w:pPr>
              <w:rPr>
                <w:rFonts w:cs="Arial"/>
                <w:sz w:val="20"/>
              </w:rPr>
            </w:pPr>
          </w:p>
        </w:tc>
        <w:tc>
          <w:tcPr>
            <w:tcW w:w="236" w:type="dxa"/>
            <w:tcBorders>
              <w:top w:val="single" w:sz="4" w:space="0" w:color="auto"/>
              <w:left w:val="single" w:sz="4" w:space="0" w:color="auto"/>
              <w:bottom w:val="single" w:sz="4" w:space="0" w:color="auto"/>
              <w:right w:val="nil"/>
            </w:tcBorders>
            <w:shd w:val="clear" w:color="auto" w:fill="E5B8B7" w:themeFill="accent2" w:themeFillTint="66"/>
          </w:tcPr>
          <w:p w14:paraId="356EB358"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shd w:val="clear" w:color="auto" w:fill="E5B8B7" w:themeFill="accent2" w:themeFillTint="66"/>
          </w:tcPr>
          <w:p w14:paraId="72E3105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nil"/>
            </w:tcBorders>
          </w:tcPr>
          <w:p w14:paraId="0BF5F7C1" w14:textId="77777777" w:rsidR="00055A90" w:rsidRPr="00641D4C" w:rsidRDefault="00055A90" w:rsidP="00BF2C27">
            <w:pPr>
              <w:rPr>
                <w:rFonts w:cs="Arial"/>
                <w:sz w:val="20"/>
              </w:rPr>
            </w:pPr>
          </w:p>
        </w:tc>
        <w:tc>
          <w:tcPr>
            <w:tcW w:w="236" w:type="dxa"/>
            <w:tcBorders>
              <w:top w:val="single" w:sz="4" w:space="0" w:color="auto"/>
              <w:left w:val="nil"/>
              <w:bottom w:val="single" w:sz="4" w:space="0" w:color="auto"/>
              <w:right w:val="single" w:sz="4" w:space="0" w:color="auto"/>
            </w:tcBorders>
          </w:tcPr>
          <w:p w14:paraId="762E5232" w14:textId="77777777" w:rsidR="00055A90" w:rsidRPr="00641D4C" w:rsidRDefault="00055A90" w:rsidP="00BF2C27">
            <w:pPr>
              <w:rPr>
                <w:rFonts w:cs="Arial"/>
                <w:sz w:val="20"/>
              </w:rPr>
            </w:pPr>
          </w:p>
        </w:tc>
      </w:tr>
    </w:tbl>
    <w:p w14:paraId="4DC4DA98" w14:textId="77777777" w:rsidR="00055A90" w:rsidRPr="00055A90" w:rsidRDefault="00055A90" w:rsidP="00055A90">
      <w:pPr>
        <w:spacing w:after="120" w:line="259" w:lineRule="auto"/>
        <w:rPr>
          <w:rFonts w:cs="Arial"/>
        </w:rPr>
      </w:pPr>
    </w:p>
    <w:p w14:paraId="1CAE178A" w14:textId="0F6D0248" w:rsidR="00F14592" w:rsidRPr="00F14592" w:rsidRDefault="00F14592" w:rsidP="00BF206B">
      <w:pPr>
        <w:pStyle w:val="ListParagraph"/>
        <w:numPr>
          <w:ilvl w:val="1"/>
          <w:numId w:val="3"/>
        </w:numPr>
        <w:spacing w:after="120" w:line="259" w:lineRule="auto"/>
        <w:rPr>
          <w:rFonts w:cs="Arial"/>
        </w:rPr>
      </w:pPr>
      <w:r w:rsidRPr="00F14592">
        <w:rPr>
          <w:szCs w:val="24"/>
        </w:rPr>
        <w:t>Planned spend</w:t>
      </w:r>
    </w:p>
    <w:tbl>
      <w:tblPr>
        <w:tblStyle w:val="TableGrid"/>
        <w:tblW w:w="9209" w:type="dxa"/>
        <w:tblLayout w:type="fixed"/>
        <w:tblLook w:val="04A0" w:firstRow="1" w:lastRow="0" w:firstColumn="1" w:lastColumn="0" w:noHBand="0" w:noVBand="1"/>
      </w:tblPr>
      <w:tblGrid>
        <w:gridCol w:w="1696"/>
        <w:gridCol w:w="1418"/>
        <w:gridCol w:w="6095"/>
      </w:tblGrid>
      <w:tr w:rsidR="00446DDE" w14:paraId="24B67266" w14:textId="77777777" w:rsidTr="00D84E84">
        <w:tc>
          <w:tcPr>
            <w:tcW w:w="1696" w:type="dxa"/>
            <w:shd w:val="clear" w:color="auto" w:fill="D9D9D9" w:themeFill="background1" w:themeFillShade="D9"/>
            <w:vAlign w:val="center"/>
          </w:tcPr>
          <w:p w14:paraId="19FC54D4" w14:textId="77777777" w:rsidR="00446DDE" w:rsidRPr="00DA37ED" w:rsidRDefault="00446DDE" w:rsidP="00D84E84">
            <w:pPr>
              <w:spacing w:after="120" w:line="259" w:lineRule="auto"/>
              <w:jc w:val="center"/>
              <w:rPr>
                <w:rFonts w:cs="Arial"/>
                <w:b/>
                <w:bCs/>
              </w:rPr>
            </w:pPr>
            <w:r w:rsidRPr="00DA37ED">
              <w:rPr>
                <w:rFonts w:cs="Arial"/>
                <w:b/>
                <w:bCs/>
              </w:rPr>
              <w:t>Element</w:t>
            </w:r>
          </w:p>
        </w:tc>
        <w:tc>
          <w:tcPr>
            <w:tcW w:w="1418" w:type="dxa"/>
            <w:shd w:val="clear" w:color="auto" w:fill="D9D9D9" w:themeFill="background1" w:themeFillShade="D9"/>
            <w:vAlign w:val="center"/>
          </w:tcPr>
          <w:p w14:paraId="004EF959" w14:textId="77777777" w:rsidR="00446DDE" w:rsidRPr="00DA37ED" w:rsidRDefault="00446DDE" w:rsidP="00D84E84">
            <w:pPr>
              <w:spacing w:after="120" w:line="259" w:lineRule="auto"/>
              <w:jc w:val="center"/>
              <w:rPr>
                <w:rFonts w:cs="Arial"/>
                <w:b/>
                <w:bCs/>
              </w:rPr>
            </w:pPr>
            <w:r w:rsidRPr="00DA37ED">
              <w:rPr>
                <w:rFonts w:cs="Arial"/>
                <w:b/>
                <w:bCs/>
              </w:rPr>
              <w:t>Est</w:t>
            </w:r>
            <w:r>
              <w:rPr>
                <w:rFonts w:cs="Arial"/>
                <w:b/>
                <w:bCs/>
              </w:rPr>
              <w:t>imated</w:t>
            </w:r>
            <w:r w:rsidRPr="00DA37ED">
              <w:rPr>
                <w:rFonts w:cs="Arial"/>
                <w:b/>
                <w:bCs/>
              </w:rPr>
              <w:t xml:space="preserve"> spend</w:t>
            </w:r>
          </w:p>
        </w:tc>
        <w:tc>
          <w:tcPr>
            <w:tcW w:w="6095" w:type="dxa"/>
            <w:shd w:val="clear" w:color="auto" w:fill="D9D9D9" w:themeFill="background1" w:themeFillShade="D9"/>
            <w:vAlign w:val="center"/>
          </w:tcPr>
          <w:p w14:paraId="70C084E0" w14:textId="77777777" w:rsidR="00446DDE" w:rsidRPr="00DA37ED" w:rsidRDefault="00446DDE" w:rsidP="00D84E84">
            <w:pPr>
              <w:spacing w:after="120" w:line="259" w:lineRule="auto"/>
              <w:jc w:val="center"/>
              <w:rPr>
                <w:rFonts w:cs="Arial"/>
                <w:b/>
                <w:bCs/>
              </w:rPr>
            </w:pPr>
            <w:r w:rsidRPr="00DA37ED">
              <w:rPr>
                <w:rFonts w:cs="Arial"/>
                <w:b/>
                <w:bCs/>
              </w:rPr>
              <w:t>Comments/description</w:t>
            </w:r>
          </w:p>
        </w:tc>
      </w:tr>
      <w:tr w:rsidR="00446DDE" w14:paraId="41470132" w14:textId="77777777" w:rsidTr="00D84E84">
        <w:tc>
          <w:tcPr>
            <w:tcW w:w="1696" w:type="dxa"/>
            <w:vAlign w:val="center"/>
          </w:tcPr>
          <w:p w14:paraId="064F8003" w14:textId="77777777" w:rsidR="00446DDE" w:rsidRPr="00DA37ED" w:rsidRDefault="00446DDE" w:rsidP="00D84E84">
            <w:pPr>
              <w:spacing w:before="120" w:after="120" w:line="259" w:lineRule="auto"/>
              <w:rPr>
                <w:rFonts w:cs="Arial"/>
              </w:rPr>
            </w:pPr>
            <w:r w:rsidRPr="00DA37ED">
              <w:rPr>
                <w:rFonts w:cs="Arial"/>
              </w:rPr>
              <w:t>Project officer</w:t>
            </w:r>
          </w:p>
        </w:tc>
        <w:tc>
          <w:tcPr>
            <w:tcW w:w="1418" w:type="dxa"/>
            <w:vAlign w:val="center"/>
          </w:tcPr>
          <w:p w14:paraId="32EE951C" w14:textId="3CB77ACE" w:rsidR="00446DDE" w:rsidRPr="00DA37ED" w:rsidRDefault="00446DDE" w:rsidP="00D84E84">
            <w:pPr>
              <w:spacing w:before="120" w:after="120" w:line="259" w:lineRule="auto"/>
              <w:rPr>
                <w:rFonts w:cs="Arial"/>
              </w:rPr>
            </w:pPr>
            <w:r>
              <w:rPr>
                <w:rFonts w:cs="Arial"/>
              </w:rPr>
              <w:t>£2</w:t>
            </w:r>
            <w:r w:rsidR="00A643D6">
              <w:rPr>
                <w:rFonts w:cs="Arial"/>
              </w:rPr>
              <w:t>9,000</w:t>
            </w:r>
          </w:p>
        </w:tc>
        <w:tc>
          <w:tcPr>
            <w:tcW w:w="6095" w:type="dxa"/>
            <w:vAlign w:val="center"/>
          </w:tcPr>
          <w:p w14:paraId="05DB187C" w14:textId="7812AEB8" w:rsidR="00446DDE" w:rsidRPr="00DA37ED" w:rsidRDefault="00446DDE" w:rsidP="00D84E84">
            <w:pPr>
              <w:spacing w:before="120" w:after="120" w:line="259" w:lineRule="auto"/>
              <w:rPr>
                <w:rFonts w:cs="Arial"/>
              </w:rPr>
            </w:pPr>
            <w:r>
              <w:rPr>
                <w:rFonts w:cs="Arial"/>
              </w:rPr>
              <w:t xml:space="preserve">6-month </w:t>
            </w:r>
            <w:r w:rsidR="00D377C1">
              <w:rPr>
                <w:rFonts w:cs="Arial"/>
              </w:rPr>
              <w:t xml:space="preserve">fixed term </w:t>
            </w:r>
            <w:r>
              <w:rPr>
                <w:rFonts w:cs="Arial"/>
              </w:rPr>
              <w:t>post</w:t>
            </w:r>
            <w:r w:rsidR="00A643D6">
              <w:rPr>
                <w:rFonts w:cs="Arial"/>
              </w:rPr>
              <w:t xml:space="preserve"> </w:t>
            </w:r>
          </w:p>
        </w:tc>
      </w:tr>
      <w:tr w:rsidR="00446DDE" w14:paraId="1BE9386B" w14:textId="77777777" w:rsidTr="00D84E84">
        <w:tc>
          <w:tcPr>
            <w:tcW w:w="1696" w:type="dxa"/>
            <w:vAlign w:val="center"/>
          </w:tcPr>
          <w:p w14:paraId="5C05C530" w14:textId="77777777" w:rsidR="00446DDE" w:rsidRPr="00DA37ED" w:rsidRDefault="00446DDE" w:rsidP="00D84E84">
            <w:pPr>
              <w:spacing w:before="120" w:after="120" w:line="259" w:lineRule="auto"/>
              <w:rPr>
                <w:rFonts w:cs="Arial"/>
              </w:rPr>
            </w:pPr>
            <w:r w:rsidRPr="00DA37ED">
              <w:rPr>
                <w:rFonts w:cs="Arial"/>
              </w:rPr>
              <w:t>Weighing equipment</w:t>
            </w:r>
          </w:p>
        </w:tc>
        <w:tc>
          <w:tcPr>
            <w:tcW w:w="1418" w:type="dxa"/>
            <w:vAlign w:val="center"/>
          </w:tcPr>
          <w:p w14:paraId="646A9D19" w14:textId="65EF0F05" w:rsidR="00446DDE" w:rsidRPr="00DA37ED" w:rsidRDefault="00446DDE" w:rsidP="00D84E84">
            <w:pPr>
              <w:spacing w:before="120" w:after="120" w:line="259" w:lineRule="auto"/>
              <w:rPr>
                <w:rFonts w:cs="Arial"/>
              </w:rPr>
            </w:pPr>
            <w:r>
              <w:rPr>
                <w:rFonts w:cs="Arial"/>
              </w:rPr>
              <w:t>£</w:t>
            </w:r>
            <w:r w:rsidR="00A643D6">
              <w:rPr>
                <w:rFonts w:cs="Arial"/>
              </w:rPr>
              <w:t>2,000</w:t>
            </w:r>
          </w:p>
        </w:tc>
        <w:tc>
          <w:tcPr>
            <w:tcW w:w="6095" w:type="dxa"/>
            <w:vAlign w:val="center"/>
          </w:tcPr>
          <w:p w14:paraId="6919C00A" w14:textId="77777777" w:rsidR="00446DDE" w:rsidRPr="00DA37ED" w:rsidRDefault="00446DDE" w:rsidP="00D84E84">
            <w:pPr>
              <w:spacing w:before="120" w:after="120" w:line="259" w:lineRule="auto"/>
              <w:rPr>
                <w:rFonts w:cs="Arial"/>
              </w:rPr>
            </w:pPr>
            <w:r>
              <w:rPr>
                <w:rFonts w:cs="Arial"/>
              </w:rPr>
              <w:t>4-week hire (2 weeks pre and 2 weeks post project) – to monitor and quantify impact of the changes</w:t>
            </w:r>
          </w:p>
        </w:tc>
      </w:tr>
      <w:tr w:rsidR="00446DDE" w14:paraId="39155663" w14:textId="77777777" w:rsidTr="00D84E84">
        <w:tc>
          <w:tcPr>
            <w:tcW w:w="1696" w:type="dxa"/>
            <w:vAlign w:val="center"/>
          </w:tcPr>
          <w:p w14:paraId="5D263337" w14:textId="77777777" w:rsidR="00446DDE" w:rsidRPr="00DA37ED" w:rsidRDefault="00446DDE" w:rsidP="00D84E84">
            <w:pPr>
              <w:spacing w:before="120" w:after="120" w:line="259" w:lineRule="auto"/>
              <w:rPr>
                <w:rFonts w:cs="Arial"/>
              </w:rPr>
            </w:pPr>
            <w:r w:rsidRPr="00DA37ED">
              <w:rPr>
                <w:rFonts w:cs="Arial"/>
              </w:rPr>
              <w:t>Bins</w:t>
            </w:r>
          </w:p>
        </w:tc>
        <w:tc>
          <w:tcPr>
            <w:tcW w:w="1418" w:type="dxa"/>
            <w:vAlign w:val="center"/>
          </w:tcPr>
          <w:p w14:paraId="1D87B6B9" w14:textId="1F201905" w:rsidR="00446DDE" w:rsidRPr="00DA37ED" w:rsidRDefault="00446DDE" w:rsidP="00D84E84">
            <w:pPr>
              <w:spacing w:before="120" w:after="120" w:line="259" w:lineRule="auto"/>
              <w:rPr>
                <w:rFonts w:cs="Arial"/>
              </w:rPr>
            </w:pPr>
            <w:r>
              <w:rPr>
                <w:rFonts w:cs="Arial"/>
              </w:rPr>
              <w:t>£357,</w:t>
            </w:r>
            <w:r w:rsidR="00A643D6">
              <w:rPr>
                <w:rFonts w:cs="Arial"/>
              </w:rPr>
              <w:t>000</w:t>
            </w:r>
          </w:p>
        </w:tc>
        <w:tc>
          <w:tcPr>
            <w:tcW w:w="6095" w:type="dxa"/>
            <w:vAlign w:val="center"/>
          </w:tcPr>
          <w:p w14:paraId="7A79A6B4" w14:textId="77777777" w:rsidR="00446DDE" w:rsidRDefault="00446DDE" w:rsidP="00D84E84">
            <w:pPr>
              <w:spacing w:before="120" w:after="120" w:line="259" w:lineRule="auto"/>
              <w:rPr>
                <w:rFonts w:cs="Arial"/>
              </w:rPr>
            </w:pPr>
            <w:r>
              <w:rPr>
                <w:rFonts w:cs="Arial"/>
              </w:rPr>
              <w:t>Food bin housing units</w:t>
            </w:r>
          </w:p>
          <w:p w14:paraId="27FD3CE1" w14:textId="77777777" w:rsidR="00446DDE" w:rsidRPr="00DA37ED" w:rsidRDefault="00446DDE" w:rsidP="00D84E84">
            <w:pPr>
              <w:spacing w:before="120" w:after="120" w:line="259" w:lineRule="auto"/>
              <w:rPr>
                <w:rFonts w:cs="Arial"/>
              </w:rPr>
            </w:pPr>
            <w:r>
              <w:rPr>
                <w:rFonts w:cs="Arial"/>
              </w:rPr>
              <w:t>Replacement / repaired / improved recycling bins</w:t>
            </w:r>
          </w:p>
        </w:tc>
      </w:tr>
      <w:tr w:rsidR="00446DDE" w14:paraId="728DA872" w14:textId="77777777" w:rsidTr="00D84E84">
        <w:tc>
          <w:tcPr>
            <w:tcW w:w="1696" w:type="dxa"/>
            <w:vAlign w:val="center"/>
          </w:tcPr>
          <w:p w14:paraId="029FD4DB" w14:textId="77777777" w:rsidR="00446DDE" w:rsidRPr="00DA37ED" w:rsidRDefault="00446DDE" w:rsidP="00D84E84">
            <w:pPr>
              <w:spacing w:before="120" w:after="120" w:line="259" w:lineRule="auto"/>
              <w:rPr>
                <w:rFonts w:cs="Arial"/>
              </w:rPr>
            </w:pPr>
            <w:r w:rsidRPr="00DA37ED">
              <w:rPr>
                <w:rFonts w:cs="Arial"/>
              </w:rPr>
              <w:t>Signage and comms</w:t>
            </w:r>
          </w:p>
        </w:tc>
        <w:tc>
          <w:tcPr>
            <w:tcW w:w="1418" w:type="dxa"/>
            <w:vAlign w:val="center"/>
          </w:tcPr>
          <w:p w14:paraId="48B59493" w14:textId="2D6CA55E" w:rsidR="00446DDE" w:rsidRPr="00DA37ED" w:rsidRDefault="00446DDE" w:rsidP="00D84E84">
            <w:pPr>
              <w:spacing w:before="120" w:after="120" w:line="259" w:lineRule="auto"/>
              <w:rPr>
                <w:rFonts w:cs="Arial"/>
              </w:rPr>
            </w:pPr>
            <w:r>
              <w:rPr>
                <w:rFonts w:cs="Arial"/>
              </w:rPr>
              <w:t>£1</w:t>
            </w:r>
            <w:r w:rsidR="00A643D6">
              <w:rPr>
                <w:rFonts w:cs="Arial"/>
              </w:rPr>
              <w:t>12</w:t>
            </w:r>
            <w:r>
              <w:rPr>
                <w:rFonts w:cs="Arial"/>
              </w:rPr>
              <w:t>,000</w:t>
            </w:r>
          </w:p>
        </w:tc>
        <w:tc>
          <w:tcPr>
            <w:tcW w:w="6095" w:type="dxa"/>
            <w:vAlign w:val="center"/>
          </w:tcPr>
          <w:p w14:paraId="79119C06" w14:textId="77777777" w:rsidR="00446DDE" w:rsidRDefault="00446DDE" w:rsidP="00D84E84">
            <w:pPr>
              <w:spacing w:before="120" w:after="120" w:line="259" w:lineRule="auto"/>
              <w:rPr>
                <w:rFonts w:cs="Arial"/>
              </w:rPr>
            </w:pPr>
            <w:r>
              <w:rPr>
                <w:rFonts w:cs="Arial"/>
              </w:rPr>
              <w:t>Clear pictorial signage identifying what item goes where and how to dispose of bulky items</w:t>
            </w:r>
          </w:p>
          <w:p w14:paraId="339B941B" w14:textId="77777777" w:rsidR="00446DDE" w:rsidRPr="00DA37ED" w:rsidRDefault="00446DDE" w:rsidP="00D84E84">
            <w:pPr>
              <w:spacing w:before="120" w:after="120" w:line="259" w:lineRule="auto"/>
              <w:rPr>
                <w:rFonts w:cs="Arial"/>
              </w:rPr>
            </w:pPr>
            <w:r>
              <w:rPr>
                <w:rFonts w:cs="Arial"/>
              </w:rPr>
              <w:t>Also include engagement packs and activities with residents</w:t>
            </w:r>
          </w:p>
        </w:tc>
      </w:tr>
      <w:tr w:rsidR="00446DDE" w14:paraId="268DF857" w14:textId="77777777" w:rsidTr="00D84E84">
        <w:tc>
          <w:tcPr>
            <w:tcW w:w="1696" w:type="dxa"/>
            <w:vAlign w:val="center"/>
          </w:tcPr>
          <w:p w14:paraId="3F84190C" w14:textId="77777777" w:rsidR="00446DDE" w:rsidRPr="00DA37ED" w:rsidRDefault="00446DDE" w:rsidP="00D84E84">
            <w:pPr>
              <w:spacing w:before="120" w:after="120" w:line="259" w:lineRule="auto"/>
              <w:rPr>
                <w:rFonts w:cs="Arial"/>
                <w:b/>
                <w:bCs/>
              </w:rPr>
            </w:pPr>
            <w:r w:rsidRPr="00DA37ED">
              <w:rPr>
                <w:rFonts w:cs="Arial"/>
                <w:b/>
                <w:bCs/>
              </w:rPr>
              <w:t>Total</w:t>
            </w:r>
          </w:p>
        </w:tc>
        <w:tc>
          <w:tcPr>
            <w:tcW w:w="7513" w:type="dxa"/>
            <w:gridSpan w:val="2"/>
            <w:vAlign w:val="center"/>
          </w:tcPr>
          <w:p w14:paraId="49C1B01C" w14:textId="77777777" w:rsidR="00446DDE" w:rsidRPr="00DA37ED" w:rsidRDefault="00446DDE" w:rsidP="00D84E84">
            <w:pPr>
              <w:spacing w:before="120" w:after="120" w:line="259" w:lineRule="auto"/>
              <w:rPr>
                <w:rFonts w:cs="Arial"/>
              </w:rPr>
            </w:pPr>
            <w:r w:rsidRPr="00DA37ED">
              <w:rPr>
                <w:rFonts w:cs="Arial"/>
                <w:b/>
                <w:bCs/>
              </w:rPr>
              <w:t>£500,000</w:t>
            </w:r>
          </w:p>
        </w:tc>
      </w:tr>
    </w:tbl>
    <w:p w14:paraId="1094F98B" w14:textId="04FF8AE8" w:rsidR="009E6829" w:rsidRPr="00F14592" w:rsidRDefault="009E6829" w:rsidP="00BF206B">
      <w:pPr>
        <w:pStyle w:val="ListParagraph"/>
        <w:numPr>
          <w:ilvl w:val="0"/>
          <w:numId w:val="3"/>
        </w:numPr>
        <w:spacing w:before="240" w:after="120" w:line="259" w:lineRule="auto"/>
        <w:rPr>
          <w:rFonts w:cs="Arial"/>
          <w:b/>
          <w:bCs/>
          <w:u w:val="single"/>
        </w:rPr>
      </w:pPr>
      <w:r>
        <w:rPr>
          <w:b/>
          <w:bCs/>
          <w:szCs w:val="24"/>
          <w:u w:val="single"/>
        </w:rPr>
        <w:t>WARD COUNCILLORS’ COMMENTS</w:t>
      </w:r>
    </w:p>
    <w:p w14:paraId="61ED3D0A" w14:textId="2128AEDD" w:rsidR="0042797C" w:rsidRPr="00F06E4E" w:rsidRDefault="00F339F8" w:rsidP="005E582C">
      <w:pPr>
        <w:spacing w:before="240" w:after="240"/>
        <w:rPr>
          <w:b/>
          <w:szCs w:val="24"/>
        </w:rPr>
      </w:pPr>
      <w:r>
        <w:rPr>
          <w:rFonts w:cs="Arial"/>
          <w:bCs/>
          <w:szCs w:val="24"/>
        </w:rPr>
        <w:t xml:space="preserve">The project </w:t>
      </w:r>
      <w:r w:rsidR="004B444E">
        <w:rPr>
          <w:rFonts w:cs="Arial"/>
          <w:bCs/>
          <w:szCs w:val="24"/>
        </w:rPr>
        <w:t>h</w:t>
      </w:r>
      <w:r>
        <w:rPr>
          <w:rFonts w:cs="Arial"/>
          <w:bCs/>
          <w:szCs w:val="24"/>
        </w:rPr>
        <w:t>as the p</w:t>
      </w:r>
      <w:r w:rsidRPr="002C7BCE">
        <w:rPr>
          <w:rFonts w:cs="Arial"/>
          <w:bCs/>
          <w:szCs w:val="24"/>
        </w:rPr>
        <w:t xml:space="preserve">otential for all wards </w:t>
      </w:r>
      <w:r>
        <w:rPr>
          <w:rFonts w:cs="Arial"/>
          <w:bCs/>
          <w:szCs w:val="24"/>
        </w:rPr>
        <w:t xml:space="preserve">to be impacted </w:t>
      </w:r>
      <w:r w:rsidRPr="002C7BCE">
        <w:rPr>
          <w:rFonts w:cs="Arial"/>
          <w:bCs/>
          <w:szCs w:val="24"/>
        </w:rPr>
        <w:t>due to prevalence of communal properties across the Borough</w:t>
      </w:r>
      <w:r>
        <w:rPr>
          <w:rFonts w:cs="Arial"/>
          <w:bCs/>
          <w:szCs w:val="24"/>
        </w:rPr>
        <w:t>, therefore this is not applicable.</w:t>
      </w:r>
    </w:p>
    <w:p w14:paraId="49DB7C05" w14:textId="77777777" w:rsidR="00BF206B" w:rsidRDefault="00BF206B">
      <w:pPr>
        <w:rPr>
          <w:b/>
          <w:bCs/>
          <w:szCs w:val="24"/>
          <w:u w:val="single"/>
        </w:rPr>
      </w:pPr>
      <w:r>
        <w:rPr>
          <w:b/>
          <w:bCs/>
          <w:szCs w:val="24"/>
          <w:u w:val="single"/>
        </w:rPr>
        <w:br w:type="page"/>
      </w:r>
    </w:p>
    <w:p w14:paraId="12B2B7E2" w14:textId="3A0E18D5" w:rsidR="00333FAA" w:rsidRPr="005E582C" w:rsidRDefault="005E582C" w:rsidP="00BF206B">
      <w:pPr>
        <w:pStyle w:val="ListParagraph"/>
        <w:numPr>
          <w:ilvl w:val="0"/>
          <w:numId w:val="3"/>
        </w:numPr>
        <w:spacing w:after="120" w:line="259" w:lineRule="auto"/>
        <w:rPr>
          <w:rFonts w:cs="Arial"/>
          <w:b/>
          <w:bCs/>
          <w:u w:val="single"/>
        </w:rPr>
      </w:pPr>
      <w:r w:rsidRPr="005E582C">
        <w:rPr>
          <w:b/>
          <w:bCs/>
          <w:szCs w:val="24"/>
          <w:u w:val="single"/>
        </w:rPr>
        <w:lastRenderedPageBreak/>
        <w:t>ENVIRONMENTAL IMPLICATIONS</w:t>
      </w:r>
    </w:p>
    <w:p w14:paraId="361F7955" w14:textId="338B78B4" w:rsidR="00A63234" w:rsidRDefault="00F309EE" w:rsidP="0042797C">
      <w:pPr>
        <w:spacing w:after="240"/>
      </w:pPr>
      <w:r>
        <w:t>Resource and Waste Strategy</w:t>
      </w:r>
      <w:r w:rsidR="00D941A8">
        <w:t xml:space="preserve"> (RWS)</w:t>
      </w:r>
      <w:r>
        <w:t xml:space="preserve"> </w:t>
      </w:r>
      <w:r w:rsidR="00E21F3D">
        <w:t xml:space="preserve">released December 2018 </w:t>
      </w:r>
      <w:r w:rsidR="00D378AC">
        <w:t xml:space="preserve">by DEFRA, </w:t>
      </w:r>
      <w:r w:rsidR="00E21F3D">
        <w:t xml:space="preserve">sets out a number of overarching targets including </w:t>
      </w:r>
    </w:p>
    <w:p w14:paraId="48343B4A" w14:textId="77777777" w:rsidR="00413D4F" w:rsidRDefault="00413D4F" w:rsidP="00BF206B">
      <w:pPr>
        <w:pStyle w:val="ListParagraph"/>
        <w:numPr>
          <w:ilvl w:val="0"/>
          <w:numId w:val="4"/>
        </w:numPr>
      </w:pPr>
      <w:r w:rsidRPr="00413D4F">
        <w:t>zero avoidable waste by 2050</w:t>
      </w:r>
    </w:p>
    <w:p w14:paraId="1FF8A548" w14:textId="77777777" w:rsidR="00413D4F" w:rsidRDefault="00413D4F" w:rsidP="00BF206B">
      <w:pPr>
        <w:pStyle w:val="ListParagraph"/>
        <w:numPr>
          <w:ilvl w:val="0"/>
          <w:numId w:val="4"/>
        </w:numPr>
      </w:pPr>
      <w:r w:rsidRPr="00413D4F">
        <w:t>double resource efficiency by 2050</w:t>
      </w:r>
    </w:p>
    <w:p w14:paraId="0E444CDD" w14:textId="77777777" w:rsidR="00413D4F" w:rsidRDefault="00413D4F" w:rsidP="00BF206B">
      <w:pPr>
        <w:pStyle w:val="ListParagraph"/>
        <w:numPr>
          <w:ilvl w:val="0"/>
          <w:numId w:val="4"/>
        </w:numPr>
      </w:pPr>
      <w:r w:rsidRPr="00413D4F">
        <w:t>zero plastic waste by 2042</w:t>
      </w:r>
    </w:p>
    <w:p w14:paraId="6EF2D4C1" w14:textId="1C4811CA" w:rsidR="00413D4F" w:rsidRDefault="00413D4F" w:rsidP="00BF206B">
      <w:pPr>
        <w:pStyle w:val="ListParagraph"/>
        <w:numPr>
          <w:ilvl w:val="0"/>
          <w:numId w:val="4"/>
        </w:numPr>
        <w:spacing w:after="240"/>
      </w:pPr>
      <w:r w:rsidRPr="00413D4F">
        <w:t>and zero food waste to landfill by 2030</w:t>
      </w:r>
    </w:p>
    <w:p w14:paraId="13DF2DA7" w14:textId="6BBEBBA3" w:rsidR="00413D4F" w:rsidRDefault="00B10D61" w:rsidP="0042797C">
      <w:pPr>
        <w:spacing w:after="240"/>
      </w:pPr>
      <w:r>
        <w:t>Although Harrow does not currently send any food waste to landfill</w:t>
      </w:r>
      <w:r w:rsidR="001633CC">
        <w:t xml:space="preserve"> (recycled via Anaerobic Digestion or incinerated), t</w:t>
      </w:r>
      <w:r>
        <w:t xml:space="preserve">his funding and projects will contribute to Harrow Council’s efforts to </w:t>
      </w:r>
      <w:r w:rsidR="001633CC">
        <w:t>achieving zero avoidable waste</w:t>
      </w:r>
      <w:r w:rsidR="00256AA4">
        <w:t xml:space="preserve"> and contributing to the country’s efforts around zero food waste to landfill.</w:t>
      </w:r>
    </w:p>
    <w:p w14:paraId="0F3152E8" w14:textId="416B4739" w:rsidR="00256AA4" w:rsidRDefault="002602B3" w:rsidP="0042797C">
      <w:pPr>
        <w:spacing w:after="240"/>
      </w:pPr>
      <w:r>
        <w:t xml:space="preserve">In addition to this, the RWS </w:t>
      </w:r>
      <w:r w:rsidR="00DF4F40">
        <w:t xml:space="preserve">current consultations state that mandatory separate food waste collections for all business and households may be required from 2023. This project </w:t>
      </w:r>
      <w:r w:rsidR="008674E9">
        <w:t>contributes to Harrow Council achieving this target.</w:t>
      </w:r>
    </w:p>
    <w:p w14:paraId="4F727611" w14:textId="791CEE30" w:rsidR="000929A6" w:rsidRDefault="00F53B15" w:rsidP="0042797C">
      <w:pPr>
        <w:spacing w:after="240"/>
      </w:pPr>
      <w:r>
        <w:t xml:space="preserve">Government also announced targets </w:t>
      </w:r>
      <w:r w:rsidR="00F9435C">
        <w:t xml:space="preserve">regarding reducing greenhouse emissions by 68% over the next decade (compared to 1990) figures. </w:t>
      </w:r>
      <w:r w:rsidR="00293B30">
        <w:t xml:space="preserve">Diverting food waste from incineration for recycling positively contributes to </w:t>
      </w:r>
      <w:r w:rsidR="009F5A53">
        <w:t>this reduction, therefore this project will help contribute to that target.</w:t>
      </w:r>
      <w:r w:rsidR="00F9435C">
        <w:t xml:space="preserve"> </w:t>
      </w:r>
    </w:p>
    <w:p w14:paraId="65EAA072" w14:textId="3B09747F" w:rsidR="0017412F" w:rsidRPr="0042797C" w:rsidRDefault="0097310F" w:rsidP="0042797C">
      <w:pPr>
        <w:spacing w:after="240"/>
      </w:pPr>
      <w:r w:rsidRPr="0097310F">
        <w:t>A recent study produced by the UN Food and Agriculture Organization has found that globally food accounts for around a third of the total global greenhouse gas emissions caused by human activity. Reducing food waste and ensuring that what remaining food waste we produce is dealt with responsibly is therefore a key area of action in tackling climate change. This initiative directly supports the Council’s Climate Change Strategy 2019 to 2024, approved by Cabinet in January 2019, and the Council’s Climate and Ecological Emergency Interim Strategy approved by Cabinet in 2020</w:t>
      </w:r>
    </w:p>
    <w:p w14:paraId="499B2436" w14:textId="7D4927FF" w:rsidR="003361DE" w:rsidRPr="00F14592" w:rsidRDefault="003361DE" w:rsidP="00BF206B">
      <w:pPr>
        <w:pStyle w:val="ListParagraph"/>
        <w:numPr>
          <w:ilvl w:val="0"/>
          <w:numId w:val="3"/>
        </w:numPr>
        <w:spacing w:after="120" w:line="259" w:lineRule="auto"/>
        <w:rPr>
          <w:rFonts w:cs="Arial"/>
          <w:b/>
          <w:bCs/>
          <w:u w:val="single"/>
        </w:rPr>
      </w:pPr>
      <w:r>
        <w:rPr>
          <w:b/>
          <w:bCs/>
          <w:szCs w:val="24"/>
          <w:u w:val="single"/>
        </w:rPr>
        <w:t>RISK MANAGEMENT IMPLICATIONS</w:t>
      </w:r>
    </w:p>
    <w:p w14:paraId="0B289C2F" w14:textId="67F7A2AA" w:rsidR="00C53F1A" w:rsidRPr="00105B8A" w:rsidRDefault="00C53F1A" w:rsidP="00105B8A">
      <w:pPr>
        <w:tabs>
          <w:tab w:val="left" w:pos="5610"/>
        </w:tabs>
        <w:ind w:right="81"/>
        <w:rPr>
          <w:color w:val="0000FF"/>
        </w:rPr>
      </w:pPr>
      <w:bookmarkStart w:id="1" w:name="_Hlk60923477"/>
      <w:bookmarkStart w:id="2" w:name="_Hlk60922991"/>
      <w:bookmarkStart w:id="3" w:name="_Hlk60923939"/>
      <w:r>
        <w:rPr>
          <w:rFonts w:cs="Arial"/>
          <w:szCs w:val="24"/>
          <w:lang w:val="en-US"/>
        </w:rPr>
        <w:t xml:space="preserve">Risks included on corporate or directorate risk register? </w:t>
      </w:r>
      <w:r>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7EE7E485"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2136C345"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263"/>
        <w:gridCol w:w="5245"/>
        <w:gridCol w:w="1127"/>
      </w:tblGrid>
      <w:tr w:rsidR="00380F87" w14:paraId="1404D484" w14:textId="77777777" w:rsidTr="005E582C">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bookmarkEnd w:id="1"/>
          <w:p w14:paraId="756F1795" w14:textId="77777777" w:rsidR="00380F87" w:rsidRDefault="00380F87" w:rsidP="00C6495A">
            <w:pPr>
              <w:spacing w:line="247" w:lineRule="auto"/>
              <w:ind w:right="141"/>
              <w:jc w:val="center"/>
              <w:rPr>
                <w:rFonts w:cs="Arial"/>
                <w:b/>
                <w:bCs/>
                <w:szCs w:val="24"/>
                <w:lang w:val="en-US" w:eastAsia="en-GB"/>
              </w:rPr>
            </w:pPr>
            <w:r>
              <w:rPr>
                <w:rFonts w:cs="Arial"/>
                <w:b/>
                <w:bCs/>
                <w:szCs w:val="24"/>
                <w:lang w:val="en-US" w:eastAsia="en-GB"/>
              </w:rPr>
              <w:t>Risk Description</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1E899FA" w14:textId="77777777" w:rsidR="00380F87" w:rsidRDefault="00380F87" w:rsidP="00C6495A">
            <w:pPr>
              <w:spacing w:line="247" w:lineRule="auto"/>
              <w:ind w:right="141"/>
              <w:jc w:val="center"/>
              <w:rPr>
                <w:rFonts w:cs="Arial"/>
                <w:b/>
                <w:bCs/>
                <w:szCs w:val="24"/>
                <w:lang w:val="en-US" w:eastAsia="en-GB"/>
              </w:rPr>
            </w:pPr>
            <w:r>
              <w:rPr>
                <w:rFonts w:cs="Arial"/>
                <w:b/>
                <w:bCs/>
                <w:szCs w:val="24"/>
                <w:lang w:val="en-US" w:eastAsia="en-GB"/>
              </w:rPr>
              <w:t>Mitigations</w:t>
            </w:r>
          </w:p>
        </w:tc>
        <w:tc>
          <w:tcPr>
            <w:tcW w:w="1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367E690" w14:textId="77777777" w:rsidR="00380F87" w:rsidRDefault="00380F87" w:rsidP="00C6495A">
            <w:pPr>
              <w:spacing w:line="247" w:lineRule="auto"/>
              <w:ind w:left="171" w:right="141"/>
              <w:jc w:val="center"/>
              <w:rPr>
                <w:rFonts w:cs="Arial"/>
                <w:b/>
                <w:bCs/>
                <w:szCs w:val="24"/>
                <w:lang w:val="en-US" w:eastAsia="en-GB"/>
              </w:rPr>
            </w:pPr>
            <w:r>
              <w:rPr>
                <w:rFonts w:cs="Arial"/>
                <w:b/>
                <w:bCs/>
                <w:szCs w:val="24"/>
                <w:lang w:val="en-US" w:eastAsia="en-GB"/>
              </w:rPr>
              <w:t>RAG Status</w:t>
            </w:r>
          </w:p>
        </w:tc>
      </w:tr>
      <w:tr w:rsidR="00380F87" w14:paraId="4B1F0661" w14:textId="77777777" w:rsidTr="00EA29D8">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4EDF4584" w:rsidR="00380F87" w:rsidRDefault="008E59FC" w:rsidP="00CB687A">
            <w:pPr>
              <w:spacing w:line="247" w:lineRule="auto"/>
              <w:ind w:right="141"/>
              <w:rPr>
                <w:rFonts w:cs="Arial"/>
                <w:szCs w:val="24"/>
                <w:lang w:val="en-US" w:eastAsia="en-GB"/>
              </w:rPr>
            </w:pPr>
            <w:r>
              <w:rPr>
                <w:rFonts w:cs="Arial"/>
                <w:szCs w:val="24"/>
                <w:lang w:val="en-US" w:eastAsia="en-GB"/>
              </w:rPr>
              <w:t xml:space="preserve">Changes implemented at each target site do not lead to a change in </w:t>
            </w:r>
            <w:r>
              <w:rPr>
                <w:rFonts w:cs="Arial"/>
                <w:szCs w:val="24"/>
                <w:lang w:val="en-US" w:eastAsia="en-GB"/>
              </w:rPr>
              <w:lastRenderedPageBreak/>
              <w:t>behaviour</w:t>
            </w:r>
            <w:r w:rsidR="00A36774">
              <w:rPr>
                <w:rFonts w:cs="Arial"/>
                <w:szCs w:val="24"/>
                <w:lang w:val="en-US" w:eastAsia="en-GB"/>
              </w:rPr>
              <w:t xml:space="preserve"> </w:t>
            </w:r>
            <w:r w:rsidR="00BA55E3">
              <w:rPr>
                <w:rFonts w:cs="Arial"/>
                <w:szCs w:val="24"/>
                <w:lang w:val="en-US" w:eastAsia="en-GB"/>
              </w:rPr>
              <w:t>i.e.</w:t>
            </w:r>
            <w:r w:rsidR="00A36774">
              <w:rPr>
                <w:rFonts w:cs="Arial"/>
                <w:szCs w:val="24"/>
                <w:lang w:val="en-US" w:eastAsia="en-GB"/>
              </w:rPr>
              <w:t xml:space="preserve"> </w:t>
            </w:r>
            <w:r w:rsidR="00BA55E3">
              <w:rPr>
                <w:rFonts w:cs="Arial"/>
                <w:szCs w:val="24"/>
                <w:lang w:val="en-US" w:eastAsia="en-GB"/>
              </w:rPr>
              <w:t>waste generation is not reduced and recycling rates not increased</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7E518" w14:textId="66B84594" w:rsidR="00380F87" w:rsidRDefault="004F2D7D" w:rsidP="00BF206B">
            <w:pPr>
              <w:pStyle w:val="ListParagraph"/>
              <w:numPr>
                <w:ilvl w:val="0"/>
                <w:numId w:val="2"/>
              </w:numPr>
              <w:suppressAutoHyphens/>
              <w:autoSpaceDN w:val="0"/>
              <w:spacing w:line="247" w:lineRule="auto"/>
              <w:ind w:left="171" w:right="141" w:hanging="171"/>
              <w:rPr>
                <w:szCs w:val="24"/>
                <w:lang w:val="en-US"/>
              </w:rPr>
            </w:pPr>
            <w:r>
              <w:rPr>
                <w:szCs w:val="24"/>
                <w:lang w:val="en-US"/>
              </w:rPr>
              <w:lastRenderedPageBreak/>
              <w:t>Results from pilot (even if negligible) will still provide an improved understanding of possible further options to explore</w:t>
            </w:r>
          </w:p>
          <w:p w14:paraId="07DCD158" w14:textId="7F79DF62" w:rsidR="004F2D7D" w:rsidRPr="0089028D" w:rsidRDefault="00861B89" w:rsidP="0089028D">
            <w:pPr>
              <w:pStyle w:val="ListParagraph"/>
              <w:numPr>
                <w:ilvl w:val="0"/>
                <w:numId w:val="2"/>
              </w:numPr>
              <w:suppressAutoHyphens/>
              <w:autoSpaceDN w:val="0"/>
              <w:spacing w:line="247" w:lineRule="auto"/>
              <w:ind w:left="171" w:right="141" w:hanging="171"/>
              <w:rPr>
                <w:szCs w:val="24"/>
                <w:lang w:val="en-US"/>
              </w:rPr>
            </w:pPr>
            <w:r>
              <w:rPr>
                <w:szCs w:val="24"/>
                <w:lang w:val="en-US"/>
              </w:rPr>
              <w:t>Extensive</w:t>
            </w:r>
            <w:r w:rsidR="004F2D7D">
              <w:rPr>
                <w:szCs w:val="24"/>
                <w:lang w:val="en-US"/>
              </w:rPr>
              <w:t xml:space="preserve"> engagement with stakeholders</w:t>
            </w:r>
            <w:r w:rsidR="006C79E5">
              <w:rPr>
                <w:szCs w:val="24"/>
                <w:lang w:val="en-US"/>
              </w:rPr>
              <w:t xml:space="preserve"> is a key element of the project</w:t>
            </w:r>
            <w:r w:rsidR="004F2D7D">
              <w:rPr>
                <w:szCs w:val="24"/>
                <w:lang w:val="en-US"/>
              </w:rPr>
              <w:t xml:space="preserve"> and research </w:t>
            </w:r>
            <w:r w:rsidR="00EB2B2F">
              <w:rPr>
                <w:szCs w:val="24"/>
                <w:lang w:val="en-US"/>
              </w:rPr>
              <w:lastRenderedPageBreak/>
              <w:t xml:space="preserve">will be undertaken </w:t>
            </w:r>
            <w:r w:rsidR="004F2D7D">
              <w:rPr>
                <w:szCs w:val="24"/>
                <w:lang w:val="en-US"/>
              </w:rPr>
              <w:t>into behaviour change</w:t>
            </w:r>
            <w:r w:rsidR="00EB2B2F">
              <w:rPr>
                <w:szCs w:val="24"/>
                <w:lang w:val="en-US"/>
              </w:rPr>
              <w:t xml:space="preserve"> </w:t>
            </w:r>
            <w:r w:rsidR="00E65B2E">
              <w:rPr>
                <w:szCs w:val="24"/>
                <w:lang w:val="en-US"/>
              </w:rPr>
              <w:t>practices</w:t>
            </w:r>
            <w:r w:rsidR="004F2D7D">
              <w:rPr>
                <w:szCs w:val="24"/>
                <w:lang w:val="en-US"/>
              </w:rPr>
              <w:t xml:space="preserve"> to ensure that planned changes stand the chance of being the most effective</w:t>
            </w:r>
          </w:p>
        </w:tc>
        <w:tc>
          <w:tcPr>
            <w:tcW w:w="1127" w:type="dxa"/>
            <w:tcBorders>
              <w:top w:val="single" w:sz="4" w:space="0" w:color="000000"/>
              <w:left w:val="single" w:sz="4" w:space="0" w:color="000000"/>
              <w:bottom w:val="single" w:sz="4" w:space="0" w:color="000000"/>
              <w:right w:val="single" w:sz="4" w:space="0" w:color="000000"/>
            </w:tcBorders>
            <w:shd w:val="clear" w:color="auto" w:fill="FFC000"/>
            <w:hideMark/>
          </w:tcPr>
          <w:p w14:paraId="1BD16511" w14:textId="350A26CA" w:rsidR="00380F87" w:rsidRDefault="00E65B2E" w:rsidP="00746D5D">
            <w:pPr>
              <w:spacing w:line="247" w:lineRule="auto"/>
              <w:ind w:left="171" w:right="141"/>
              <w:jc w:val="center"/>
              <w:rPr>
                <w:rFonts w:cs="Arial"/>
                <w:szCs w:val="24"/>
                <w:lang w:val="en-US" w:eastAsia="en-GB"/>
              </w:rPr>
            </w:pPr>
            <w:r>
              <w:rPr>
                <w:rFonts w:cs="Arial"/>
                <w:szCs w:val="24"/>
                <w:lang w:val="en-US" w:eastAsia="en-GB"/>
              </w:rPr>
              <w:lastRenderedPageBreak/>
              <w:t>Amber</w:t>
            </w:r>
          </w:p>
        </w:tc>
      </w:tr>
      <w:tr w:rsidR="00E65B2E" w14:paraId="0E3B1B50" w14:textId="77777777" w:rsidTr="00EA29D8">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7A822" w14:textId="07E64A09" w:rsidR="00E65B2E" w:rsidRDefault="00E65B2E" w:rsidP="00CB687A">
            <w:pPr>
              <w:spacing w:line="247" w:lineRule="auto"/>
              <w:ind w:right="141"/>
              <w:rPr>
                <w:rFonts w:cs="Arial"/>
                <w:szCs w:val="24"/>
                <w:lang w:val="en-US" w:eastAsia="en-GB"/>
              </w:rPr>
            </w:pPr>
            <w:r>
              <w:rPr>
                <w:rFonts w:cs="Arial"/>
                <w:szCs w:val="24"/>
                <w:lang w:val="en-US" w:eastAsia="en-GB"/>
              </w:rPr>
              <w:lastRenderedPageBreak/>
              <w:t>Pilot does not provide a tangible decrease in disposal cost</w:t>
            </w:r>
            <w:r w:rsidR="0062251F">
              <w:rPr>
                <w:rFonts w:cs="Arial"/>
                <w:szCs w:val="24"/>
                <w:lang w:val="en-US" w:eastAsia="en-GB"/>
              </w:rPr>
              <w:t xml:space="preserve"> despite spend</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63F5D" w14:textId="4C884DAD" w:rsidR="0062251F" w:rsidRDefault="0062251F" w:rsidP="0062251F">
            <w:pPr>
              <w:pStyle w:val="ListParagraph"/>
              <w:numPr>
                <w:ilvl w:val="0"/>
                <w:numId w:val="2"/>
              </w:numPr>
              <w:suppressAutoHyphens/>
              <w:autoSpaceDN w:val="0"/>
              <w:spacing w:line="247" w:lineRule="auto"/>
              <w:ind w:left="171" w:right="141" w:hanging="171"/>
              <w:rPr>
                <w:szCs w:val="24"/>
                <w:lang w:val="en-US"/>
              </w:rPr>
            </w:pPr>
            <w:r>
              <w:rPr>
                <w:szCs w:val="24"/>
                <w:lang w:val="en-US"/>
              </w:rPr>
              <w:t>Project is a pilot and from external funding</w:t>
            </w:r>
          </w:p>
          <w:p w14:paraId="71A9F578" w14:textId="2EAED0AE" w:rsidR="00E65B2E" w:rsidRDefault="00E65B2E" w:rsidP="00BF206B">
            <w:pPr>
              <w:pStyle w:val="ListParagraph"/>
              <w:numPr>
                <w:ilvl w:val="0"/>
                <w:numId w:val="2"/>
              </w:numPr>
              <w:suppressAutoHyphens/>
              <w:autoSpaceDN w:val="0"/>
              <w:spacing w:line="247" w:lineRule="auto"/>
              <w:ind w:left="171" w:right="141" w:hanging="171"/>
              <w:rPr>
                <w:szCs w:val="24"/>
                <w:lang w:val="en-US"/>
              </w:rPr>
            </w:pPr>
            <w:r>
              <w:rPr>
                <w:szCs w:val="24"/>
                <w:lang w:val="en-US"/>
              </w:rPr>
              <w:t>Budget still based on current service delivery and no MTFS targets associated with the project, therefore no risk to current budget in the short term if pilot is unsuccessful (as per the initial driving factors for the pilot around disposal costs)</w:t>
            </w:r>
          </w:p>
        </w:tc>
        <w:tc>
          <w:tcPr>
            <w:tcW w:w="1127" w:type="dxa"/>
            <w:tcBorders>
              <w:top w:val="single" w:sz="4" w:space="0" w:color="000000"/>
              <w:left w:val="single" w:sz="4" w:space="0" w:color="000000"/>
              <w:bottom w:val="single" w:sz="4" w:space="0" w:color="000000"/>
              <w:right w:val="single" w:sz="4" w:space="0" w:color="000000"/>
            </w:tcBorders>
            <w:shd w:val="clear" w:color="auto" w:fill="FFC000"/>
          </w:tcPr>
          <w:p w14:paraId="203AE39F" w14:textId="48D67D6D" w:rsidR="00E65B2E" w:rsidRDefault="0089028D" w:rsidP="00746D5D">
            <w:pPr>
              <w:spacing w:line="247" w:lineRule="auto"/>
              <w:ind w:left="171" w:right="141"/>
              <w:jc w:val="center"/>
              <w:rPr>
                <w:rFonts w:cs="Arial"/>
                <w:szCs w:val="24"/>
                <w:lang w:val="en-US" w:eastAsia="en-GB"/>
              </w:rPr>
            </w:pPr>
            <w:r>
              <w:rPr>
                <w:rFonts w:cs="Arial"/>
                <w:szCs w:val="24"/>
                <w:lang w:val="en-US" w:eastAsia="en-GB"/>
              </w:rPr>
              <w:t>Amber</w:t>
            </w:r>
          </w:p>
        </w:tc>
      </w:tr>
      <w:tr w:rsidR="00380F87" w14:paraId="6274505A" w14:textId="77777777" w:rsidTr="00EA29D8">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6B867587" w:rsidR="00380F87" w:rsidRDefault="00EB3B7F" w:rsidP="00CB687A">
            <w:pPr>
              <w:spacing w:line="247" w:lineRule="auto"/>
              <w:ind w:right="141"/>
              <w:rPr>
                <w:rFonts w:cs="Arial"/>
                <w:szCs w:val="24"/>
                <w:lang w:val="en-US" w:eastAsia="en-GB"/>
              </w:rPr>
            </w:pPr>
            <w:r>
              <w:rPr>
                <w:rFonts w:cs="Arial"/>
                <w:szCs w:val="24"/>
                <w:lang w:val="en-US" w:eastAsia="en-GB"/>
              </w:rPr>
              <w:t>Project is so successful that current capacity within rounds is not sufficient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7BF49" w14:textId="60E25EDD" w:rsidR="00380F87" w:rsidRDefault="00EB3B7F" w:rsidP="00BF206B">
            <w:pPr>
              <w:pStyle w:val="ListParagraph"/>
              <w:numPr>
                <w:ilvl w:val="0"/>
                <w:numId w:val="2"/>
              </w:numPr>
              <w:suppressAutoHyphens/>
              <w:autoSpaceDN w:val="0"/>
              <w:spacing w:line="247" w:lineRule="auto"/>
              <w:ind w:left="171" w:right="141" w:hanging="171"/>
              <w:rPr>
                <w:szCs w:val="24"/>
                <w:lang w:val="en-US"/>
              </w:rPr>
            </w:pPr>
            <w:r>
              <w:rPr>
                <w:szCs w:val="24"/>
                <w:lang w:val="en-US"/>
              </w:rPr>
              <w:t xml:space="preserve">Food waste has been in place within standard communal properties since Jan 2019 and </w:t>
            </w:r>
            <w:r w:rsidR="00301922">
              <w:rPr>
                <w:szCs w:val="24"/>
                <w:lang w:val="en-US"/>
              </w:rPr>
              <w:t xml:space="preserve">these have been picked up by the current household food waste rounds – due to reduced uptake there is still suitable capacity to </w:t>
            </w:r>
            <w:r w:rsidR="00933967">
              <w:rPr>
                <w:szCs w:val="24"/>
                <w:lang w:val="en-US"/>
              </w:rPr>
              <w:t>facilitate any increase as a result from the pilot</w:t>
            </w:r>
          </w:p>
          <w:p w14:paraId="79FDFF6E" w14:textId="72B17ABB" w:rsidR="00380F87" w:rsidRPr="00CE4E79" w:rsidRDefault="00933967" w:rsidP="00BF206B">
            <w:pPr>
              <w:pStyle w:val="ListParagraph"/>
              <w:numPr>
                <w:ilvl w:val="0"/>
                <w:numId w:val="2"/>
              </w:numPr>
              <w:suppressAutoHyphens/>
              <w:autoSpaceDN w:val="0"/>
              <w:spacing w:line="247" w:lineRule="auto"/>
              <w:ind w:left="171" w:right="141" w:hanging="171"/>
              <w:rPr>
                <w:szCs w:val="24"/>
                <w:lang w:val="en-US"/>
              </w:rPr>
            </w:pPr>
            <w:r>
              <w:rPr>
                <w:szCs w:val="24"/>
                <w:lang w:val="en-US"/>
              </w:rPr>
              <w:t xml:space="preserve">Although flats above shops do not currently have access to food waste recycling services, </w:t>
            </w:r>
            <w:r w:rsidR="00CE4E79">
              <w:rPr>
                <w:szCs w:val="24"/>
                <w:lang w:val="en-US"/>
              </w:rPr>
              <w:t xml:space="preserve">there is only a limited number across the </w:t>
            </w:r>
            <w:r w:rsidR="004170BC">
              <w:rPr>
                <w:szCs w:val="24"/>
                <w:lang w:val="en-US"/>
              </w:rPr>
              <w:t>Borough</w:t>
            </w:r>
            <w:r w:rsidR="00CE4E79">
              <w:rPr>
                <w:szCs w:val="24"/>
                <w:lang w:val="en-US"/>
              </w:rPr>
              <w:t xml:space="preserve"> and it is deemed that there is still sufficient capacity within the current rounds to facilitate any potential increase in tonnage</w:t>
            </w:r>
          </w:p>
        </w:tc>
        <w:tc>
          <w:tcPr>
            <w:tcW w:w="1127" w:type="dxa"/>
            <w:tcBorders>
              <w:top w:val="single" w:sz="4" w:space="0" w:color="000000"/>
              <w:left w:val="single" w:sz="4" w:space="0" w:color="000000"/>
              <w:bottom w:val="single" w:sz="4" w:space="0" w:color="000000"/>
              <w:right w:val="single" w:sz="4" w:space="0" w:color="000000"/>
            </w:tcBorders>
            <w:shd w:val="clear" w:color="auto" w:fill="92D050"/>
          </w:tcPr>
          <w:p w14:paraId="203D15A6" w14:textId="23B1B1E8" w:rsidR="00380F87" w:rsidRDefault="00746D5D" w:rsidP="00746D5D">
            <w:pPr>
              <w:spacing w:line="247" w:lineRule="auto"/>
              <w:ind w:right="141"/>
              <w:jc w:val="center"/>
              <w:rPr>
                <w:rFonts w:cs="Arial"/>
                <w:szCs w:val="24"/>
                <w:lang w:val="en-US" w:eastAsia="en-GB"/>
              </w:rPr>
            </w:pPr>
            <w:r>
              <w:rPr>
                <w:rFonts w:cs="Arial"/>
                <w:szCs w:val="24"/>
                <w:lang w:val="en-US" w:eastAsia="en-GB"/>
              </w:rPr>
              <w:t>Green</w:t>
            </w:r>
          </w:p>
        </w:tc>
      </w:tr>
      <w:tr w:rsidR="00C63352" w14:paraId="77B90D52" w14:textId="77777777" w:rsidTr="00EA29D8">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01CDE" w14:textId="0C3133A5" w:rsidR="00C63352" w:rsidRDefault="00C63352" w:rsidP="00CB687A">
            <w:pPr>
              <w:spacing w:line="247" w:lineRule="auto"/>
              <w:ind w:right="141"/>
              <w:rPr>
                <w:rFonts w:cs="Arial"/>
                <w:szCs w:val="24"/>
                <w:lang w:val="en-US" w:eastAsia="en-GB"/>
              </w:rPr>
            </w:pPr>
            <w:r>
              <w:rPr>
                <w:rFonts w:cs="Arial"/>
                <w:szCs w:val="24"/>
                <w:lang w:val="en-US" w:eastAsia="en-GB"/>
              </w:rPr>
              <w:t>Funding does not provide sufficient project officer resource</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384CC" w14:textId="28623E65" w:rsidR="00C63352" w:rsidRDefault="00746D5D" w:rsidP="00BF206B">
            <w:pPr>
              <w:pStyle w:val="ListParagraph"/>
              <w:numPr>
                <w:ilvl w:val="0"/>
                <w:numId w:val="2"/>
              </w:numPr>
              <w:suppressAutoHyphens/>
              <w:autoSpaceDN w:val="0"/>
              <w:spacing w:line="247" w:lineRule="auto"/>
              <w:ind w:left="171" w:right="141" w:hanging="171"/>
              <w:rPr>
                <w:szCs w:val="24"/>
                <w:lang w:val="en-US"/>
              </w:rPr>
            </w:pPr>
            <w:r>
              <w:rPr>
                <w:szCs w:val="24"/>
                <w:lang w:val="en-US"/>
              </w:rPr>
              <w:t xml:space="preserve">The project has been budgeted to cover a </w:t>
            </w:r>
            <w:r w:rsidR="009D318C">
              <w:rPr>
                <w:szCs w:val="24"/>
                <w:lang w:val="en-US"/>
              </w:rPr>
              <w:t>6-month</w:t>
            </w:r>
            <w:r>
              <w:rPr>
                <w:szCs w:val="24"/>
                <w:lang w:val="en-US"/>
              </w:rPr>
              <w:t xml:space="preserve"> </w:t>
            </w:r>
            <w:r w:rsidR="004170BC">
              <w:rPr>
                <w:szCs w:val="24"/>
                <w:lang w:val="en-US"/>
              </w:rPr>
              <w:t>post;</w:t>
            </w:r>
            <w:r>
              <w:rPr>
                <w:szCs w:val="24"/>
                <w:lang w:val="en-US"/>
              </w:rPr>
              <w:t xml:space="preserve"> however significant work has been undertaken already that will ensure that the Project Officer’s time can be well focused on completing the pilot</w:t>
            </w:r>
          </w:p>
          <w:p w14:paraId="0260574E" w14:textId="3C09285C" w:rsidR="00746D5D" w:rsidRDefault="00746D5D" w:rsidP="00BF206B">
            <w:pPr>
              <w:pStyle w:val="ListParagraph"/>
              <w:numPr>
                <w:ilvl w:val="0"/>
                <w:numId w:val="2"/>
              </w:numPr>
              <w:suppressAutoHyphens/>
              <w:autoSpaceDN w:val="0"/>
              <w:spacing w:line="247" w:lineRule="auto"/>
              <w:ind w:left="171" w:right="141" w:hanging="171"/>
              <w:rPr>
                <w:szCs w:val="24"/>
                <w:lang w:val="en-US"/>
              </w:rPr>
            </w:pPr>
            <w:r>
              <w:rPr>
                <w:szCs w:val="24"/>
                <w:lang w:val="en-US"/>
              </w:rPr>
              <w:t>Support is available from within current resources in terms of operational knowledge to assist the Project Officer as/when required</w:t>
            </w:r>
          </w:p>
        </w:tc>
        <w:tc>
          <w:tcPr>
            <w:tcW w:w="1127" w:type="dxa"/>
            <w:tcBorders>
              <w:top w:val="single" w:sz="4" w:space="0" w:color="000000"/>
              <w:left w:val="single" w:sz="4" w:space="0" w:color="000000"/>
              <w:bottom w:val="single" w:sz="4" w:space="0" w:color="000000"/>
              <w:right w:val="single" w:sz="4" w:space="0" w:color="000000"/>
            </w:tcBorders>
            <w:shd w:val="clear" w:color="auto" w:fill="92D050"/>
          </w:tcPr>
          <w:p w14:paraId="4501F8F8" w14:textId="7302C4D4" w:rsidR="00C63352" w:rsidRDefault="00746D5D" w:rsidP="00746D5D">
            <w:pPr>
              <w:spacing w:line="247" w:lineRule="auto"/>
              <w:ind w:right="141"/>
              <w:jc w:val="center"/>
              <w:rPr>
                <w:rFonts w:cs="Arial"/>
                <w:szCs w:val="24"/>
                <w:lang w:val="en-US" w:eastAsia="en-GB"/>
              </w:rPr>
            </w:pPr>
            <w:r>
              <w:rPr>
                <w:rFonts w:cs="Arial"/>
                <w:szCs w:val="24"/>
                <w:lang w:val="en-US" w:eastAsia="en-GB"/>
              </w:rPr>
              <w:t>Green</w:t>
            </w:r>
          </w:p>
        </w:tc>
      </w:tr>
    </w:tbl>
    <w:p w14:paraId="4EA1AE38" w14:textId="77777777" w:rsidR="00105B8A" w:rsidRDefault="00105B8A"/>
    <w:bookmarkEnd w:id="2"/>
    <w:bookmarkEnd w:id="3"/>
    <w:p w14:paraId="0249BBDB" w14:textId="13B2DCB4" w:rsidR="002A3FEF" w:rsidRPr="005E582C" w:rsidRDefault="005E582C" w:rsidP="00BF206B">
      <w:pPr>
        <w:pStyle w:val="ListParagraph"/>
        <w:numPr>
          <w:ilvl w:val="0"/>
          <w:numId w:val="3"/>
        </w:numPr>
        <w:spacing w:after="120" w:line="259" w:lineRule="auto"/>
        <w:rPr>
          <w:rFonts w:cs="Arial"/>
          <w:b/>
          <w:bCs/>
          <w:u w:val="single"/>
        </w:rPr>
      </w:pPr>
      <w:r w:rsidRPr="005E582C">
        <w:rPr>
          <w:b/>
          <w:bCs/>
          <w:u w:val="single"/>
        </w:rPr>
        <w:t>PROCUREMENT IMPLICATIONS</w:t>
      </w:r>
    </w:p>
    <w:p w14:paraId="6C948A26" w14:textId="17584D30" w:rsidR="00B03F80" w:rsidRDefault="00555285" w:rsidP="0042797C">
      <w:pPr>
        <w:spacing w:after="240"/>
      </w:pPr>
      <w:r>
        <w:t>A significant proportion of the funding has been allocated to the purchase of bins. Due to the value, this was not able to be included as part of the current framework for standard bin purchases within the waste service.</w:t>
      </w:r>
    </w:p>
    <w:p w14:paraId="3195EC73" w14:textId="4588D761" w:rsidR="00555285" w:rsidRDefault="00E372FE" w:rsidP="0042797C">
      <w:pPr>
        <w:spacing w:after="240"/>
      </w:pPr>
      <w:r>
        <w:t>Therefore,</w:t>
      </w:r>
      <w:r w:rsidR="00555285">
        <w:t xml:space="preserve"> a separate procurement exercise will be required to purchase the bins </w:t>
      </w:r>
      <w:r w:rsidR="00844917">
        <w:t xml:space="preserve">for this project. WLWA are looking to undertake a procurement exercise for the purchase of food waste bin housing units on behalf of the 6 London Boroughs, of which Harrow have requested that they be included as </w:t>
      </w:r>
      <w:r>
        <w:t>able to access the framework prices delivered as part of this.</w:t>
      </w:r>
    </w:p>
    <w:p w14:paraId="2DBB7038" w14:textId="712366F6" w:rsidR="00575AF0" w:rsidRDefault="00575AF0" w:rsidP="0042797C">
      <w:pPr>
        <w:spacing w:after="240"/>
      </w:pPr>
      <w:r>
        <w:lastRenderedPageBreak/>
        <w:t>The Corporate Procurement team will support any procurement requirements associated with the funding. All procurement will be undertaken consistent with the Public Contract Regulations and the Council’s Contract Procedure Rules.</w:t>
      </w:r>
    </w:p>
    <w:p w14:paraId="44413A6E" w14:textId="0B07ECE1" w:rsidR="00333FAA" w:rsidRPr="00674987" w:rsidRDefault="005E582C" w:rsidP="00BF206B">
      <w:pPr>
        <w:pStyle w:val="ListParagraph"/>
        <w:numPr>
          <w:ilvl w:val="0"/>
          <w:numId w:val="3"/>
        </w:numPr>
        <w:spacing w:after="120" w:line="259" w:lineRule="auto"/>
        <w:rPr>
          <w:rFonts w:cs="Arial"/>
          <w:b/>
          <w:bCs/>
          <w:u w:val="single"/>
        </w:rPr>
      </w:pPr>
      <w:r w:rsidRPr="005E582C">
        <w:rPr>
          <w:b/>
          <w:bCs/>
          <w:u w:val="single"/>
        </w:rPr>
        <w:t>LEGAL IMPLICATIONS</w:t>
      </w:r>
    </w:p>
    <w:p w14:paraId="73239319" w14:textId="68A94487" w:rsidR="00674987" w:rsidRDefault="00674987" w:rsidP="00F80506">
      <w:pPr>
        <w:spacing w:after="240"/>
      </w:pPr>
      <w:r>
        <w:t>Section 111(1) of the Local Government Act 1972 gives a local authority the power to do anything (whether or not involving the expenditure, borrowing or lending of money</w:t>
      </w:r>
      <w:r w:rsidR="00B76C5D">
        <w:t xml:space="preserve">) which </w:t>
      </w:r>
      <w:r>
        <w:t xml:space="preserve">is calculated to facilitate, or is conducive or incidental to, the discharge of any of </w:t>
      </w:r>
      <w:r w:rsidR="00F34532">
        <w:t>its</w:t>
      </w:r>
      <w:r>
        <w:t xml:space="preserve"> functions.  This will include doing anything that, in its opinion, is in the interests of, and will bring direct benefit to, its area or any part of it or all or some of its residents. </w:t>
      </w:r>
    </w:p>
    <w:p w14:paraId="36CF0877" w14:textId="7ABE97E3" w:rsidR="00674987" w:rsidRDefault="00674987" w:rsidP="00F80506">
      <w:pPr>
        <w:spacing w:after="240"/>
      </w:pPr>
      <w:r>
        <w:t xml:space="preserve">In addition to this, section 1(1) of the Localism Act 2011 gives local authorities general power to do anything individuals may do unless it is specifically prohibited in legislation. </w:t>
      </w:r>
    </w:p>
    <w:p w14:paraId="4B559472" w14:textId="58E62699" w:rsidR="0003461A" w:rsidRDefault="004D20FC" w:rsidP="00F80506">
      <w:pPr>
        <w:spacing w:after="240"/>
      </w:pPr>
      <w:r>
        <w:t xml:space="preserve">Use of the </w:t>
      </w:r>
      <w:r w:rsidR="000F2324">
        <w:t xml:space="preserve">food waste </w:t>
      </w:r>
      <w:r w:rsidR="00C73557">
        <w:t xml:space="preserve">funding received from the WLWA for the project highlighted in this report </w:t>
      </w:r>
      <w:r w:rsidR="00DD1A07">
        <w:t xml:space="preserve">will fall within </w:t>
      </w:r>
      <w:r w:rsidR="00713387">
        <w:t>the powers in Section 111(1) of the Local Government Act 1972 and section 1(1) of the Localism Act 2011</w:t>
      </w:r>
      <w:r w:rsidR="00670A05">
        <w:t>.</w:t>
      </w:r>
    </w:p>
    <w:p w14:paraId="07239CE9" w14:textId="297DAFDA" w:rsidR="00670A05" w:rsidRDefault="00670A05" w:rsidP="00F80506">
      <w:pPr>
        <w:spacing w:after="240"/>
      </w:pPr>
      <w:r>
        <w:t xml:space="preserve">The </w:t>
      </w:r>
      <w:r w:rsidR="00706B25">
        <w:t>increase</w:t>
      </w:r>
      <w:r>
        <w:t xml:space="preserve"> to </w:t>
      </w:r>
      <w:r w:rsidR="00706B25">
        <w:t xml:space="preserve">the </w:t>
      </w:r>
      <w:r w:rsidR="00706B25" w:rsidRPr="00BB17EB">
        <w:t>2021/22 Capital Programme</w:t>
      </w:r>
      <w:r>
        <w:t xml:space="preserve"> </w:t>
      </w:r>
      <w:r w:rsidR="00537633">
        <w:t xml:space="preserve">requested in this report falls within the threshold allowed for Cabinet in </w:t>
      </w:r>
      <w:r w:rsidR="004D27AE">
        <w:t>section B48 of the Council’s Financial Regulations</w:t>
      </w:r>
      <w:r w:rsidR="008F3BF7">
        <w:t>.</w:t>
      </w:r>
    </w:p>
    <w:p w14:paraId="2DEC6E4D" w14:textId="20FC5577" w:rsidR="00F80506" w:rsidRPr="00F80506" w:rsidRDefault="00F80506" w:rsidP="00F80506">
      <w:pPr>
        <w:pStyle w:val="ListParagraph"/>
        <w:numPr>
          <w:ilvl w:val="0"/>
          <w:numId w:val="3"/>
        </w:numPr>
        <w:spacing w:after="120" w:line="259" w:lineRule="auto"/>
        <w:rPr>
          <w:rFonts w:cs="Arial"/>
          <w:b/>
          <w:bCs/>
          <w:u w:val="single"/>
        </w:rPr>
      </w:pPr>
      <w:r>
        <w:rPr>
          <w:b/>
          <w:bCs/>
          <w:u w:val="single"/>
        </w:rPr>
        <w:t>FINANCIAL</w:t>
      </w:r>
      <w:r w:rsidRPr="005E582C">
        <w:rPr>
          <w:b/>
          <w:bCs/>
          <w:u w:val="single"/>
        </w:rPr>
        <w:t xml:space="preserve"> IMPLICATIONS</w:t>
      </w:r>
    </w:p>
    <w:p w14:paraId="78C69C00" w14:textId="1B48EF65" w:rsidR="00260A43" w:rsidRDefault="00260A43" w:rsidP="0042797C">
      <w:pPr>
        <w:autoSpaceDE w:val="0"/>
        <w:autoSpaceDN w:val="0"/>
        <w:adjustRightInd w:val="0"/>
        <w:spacing w:after="240"/>
      </w:pPr>
      <w:r>
        <w:t xml:space="preserve">The funding </w:t>
      </w:r>
      <w:r w:rsidR="00113470">
        <w:t xml:space="preserve">of £0.5m </w:t>
      </w:r>
      <w:r>
        <w:t xml:space="preserve">provided by </w:t>
      </w:r>
      <w:r w:rsidR="005B074E">
        <w:t>WLWA</w:t>
      </w:r>
      <w:r>
        <w:t xml:space="preserve"> is one-off and has to be spent in accordance with the key objectives set out in Section 2 of the report. </w:t>
      </w:r>
    </w:p>
    <w:p w14:paraId="33D090BF" w14:textId="42A61076" w:rsidR="00260A43" w:rsidRDefault="00260A43" w:rsidP="0042797C">
      <w:pPr>
        <w:autoSpaceDE w:val="0"/>
        <w:autoSpaceDN w:val="0"/>
        <w:adjustRightInd w:val="0"/>
        <w:spacing w:after="240"/>
      </w:pPr>
      <w:r>
        <w:t xml:space="preserve">The proposed food waste project will involve the installation of new bins, improvement of access to facilities and recycling campaigns. The cost of bins is estimated at £357k. </w:t>
      </w:r>
      <w:r w:rsidR="001E6607">
        <w:t>Therefore,</w:t>
      </w:r>
      <w:r>
        <w:t xml:space="preserve"> the proposed </w:t>
      </w:r>
      <w:r w:rsidR="00113470">
        <w:t xml:space="preserve">split of revenue and capital costs is £143k and £357k respectively. </w:t>
      </w:r>
    </w:p>
    <w:p w14:paraId="00BE929E" w14:textId="77777777" w:rsidR="00113470" w:rsidRDefault="00113470" w:rsidP="0042797C">
      <w:pPr>
        <w:autoSpaceDE w:val="0"/>
        <w:autoSpaceDN w:val="0"/>
        <w:adjustRightInd w:val="0"/>
        <w:spacing w:after="240"/>
      </w:pPr>
      <w:r>
        <w:t>The collection of waste from flats above shops is to be undertaken by existing crews, therefore no additional waste collection cost is anticipated in the pilot.</w:t>
      </w:r>
    </w:p>
    <w:p w14:paraId="382EECA2" w14:textId="56BD31CC" w:rsidR="002D6B63" w:rsidRDefault="005B074E">
      <w:pPr>
        <w:autoSpaceDE w:val="0"/>
        <w:autoSpaceDN w:val="0"/>
        <w:adjustRightInd w:val="0"/>
        <w:spacing w:after="240"/>
      </w:pPr>
      <w:r>
        <w:t xml:space="preserve">The waste composition analysis conducted by WLWA suggests that 40% of waste in communal residual waste bins is food waste, so diverting this for food waste recycling will have a significant financial impact as there is a large cost difference between </w:t>
      </w:r>
      <w:r w:rsidR="00BC51AC">
        <w:t xml:space="preserve">the disposal of </w:t>
      </w:r>
      <w:r>
        <w:t xml:space="preserve">residual waste stream and food waste stream. The result of the pilot will be reviewed to establish </w:t>
      </w:r>
      <w:r w:rsidR="00BC51AC">
        <w:t>its</w:t>
      </w:r>
      <w:r>
        <w:t xml:space="preserve"> impact on recycling and costs. </w:t>
      </w:r>
    </w:p>
    <w:p w14:paraId="41D80CF8" w14:textId="30D0D54D" w:rsidR="00333FAA" w:rsidRPr="00F80506" w:rsidRDefault="005E582C" w:rsidP="00F80506">
      <w:pPr>
        <w:pStyle w:val="ListParagraph"/>
        <w:numPr>
          <w:ilvl w:val="0"/>
          <w:numId w:val="3"/>
        </w:numPr>
        <w:spacing w:after="120" w:line="259" w:lineRule="auto"/>
        <w:rPr>
          <w:rFonts w:cs="Arial"/>
          <w:b/>
          <w:bCs/>
          <w:u w:val="single"/>
        </w:rPr>
      </w:pPr>
      <w:r w:rsidRPr="00F80506">
        <w:rPr>
          <w:b/>
          <w:bCs/>
          <w:u w:val="single"/>
        </w:rPr>
        <w:t>EQUALITIES IMPLICATIONS / PUBLIC SECTOR EQUALITY DUTY</w:t>
      </w:r>
    </w:p>
    <w:p w14:paraId="7290482F" w14:textId="57B80605" w:rsidR="000506B1" w:rsidRDefault="00437019" w:rsidP="00F80506">
      <w:pPr>
        <w:autoSpaceDE w:val="0"/>
        <w:autoSpaceDN w:val="0"/>
        <w:adjustRightInd w:val="0"/>
        <w:spacing w:after="240"/>
        <w:rPr>
          <w:rFonts w:cs="Arial"/>
          <w:szCs w:val="24"/>
          <w:lang w:eastAsia="en-GB"/>
        </w:rPr>
      </w:pPr>
      <w:r>
        <w:rPr>
          <w:rFonts w:cs="Arial"/>
          <w:szCs w:val="24"/>
          <w:lang w:eastAsia="en-GB"/>
        </w:rPr>
        <w:t>In the exercise of its functions, t</w:t>
      </w:r>
      <w:r w:rsidR="00250A1C">
        <w:rPr>
          <w:rFonts w:cs="Arial"/>
          <w:szCs w:val="24"/>
          <w:lang w:eastAsia="en-GB"/>
        </w:rPr>
        <w:t xml:space="preserve">he Council has a duty under </w:t>
      </w:r>
      <w:r w:rsidR="00AC260B">
        <w:rPr>
          <w:rFonts w:cs="Arial"/>
          <w:szCs w:val="24"/>
          <w:lang w:eastAsia="en-GB"/>
        </w:rPr>
        <w:t>section 1</w:t>
      </w:r>
      <w:r w:rsidR="000506B1">
        <w:rPr>
          <w:rFonts w:cs="Arial"/>
          <w:szCs w:val="24"/>
          <w:lang w:eastAsia="en-GB"/>
        </w:rPr>
        <w:t>49 of the Equality Act 2010 (“the Act”)</w:t>
      </w:r>
      <w:r>
        <w:rPr>
          <w:rFonts w:cs="Arial"/>
          <w:szCs w:val="24"/>
          <w:lang w:eastAsia="en-GB"/>
        </w:rPr>
        <w:t xml:space="preserve"> </w:t>
      </w:r>
      <w:r w:rsidR="000506B1">
        <w:rPr>
          <w:rFonts w:cs="Arial"/>
          <w:szCs w:val="24"/>
          <w:lang w:eastAsia="en-GB"/>
        </w:rPr>
        <w:t>to have ‘due regard’ to eliminating</w:t>
      </w:r>
      <w:r w:rsidR="00F80506">
        <w:rPr>
          <w:rFonts w:cs="Arial"/>
          <w:szCs w:val="24"/>
          <w:lang w:eastAsia="en-GB"/>
        </w:rPr>
        <w:t xml:space="preserve"> d</w:t>
      </w:r>
      <w:r w:rsidR="000506B1">
        <w:rPr>
          <w:rFonts w:cs="Arial"/>
          <w:szCs w:val="24"/>
          <w:lang w:eastAsia="en-GB"/>
        </w:rPr>
        <w:t>iscrimination</w:t>
      </w:r>
      <w:r w:rsidR="00107AB4">
        <w:rPr>
          <w:rFonts w:cs="Arial"/>
          <w:szCs w:val="24"/>
          <w:lang w:eastAsia="en-GB"/>
        </w:rPr>
        <w:t xml:space="preserve">, </w:t>
      </w:r>
      <w:r w:rsidR="000506B1">
        <w:rPr>
          <w:rFonts w:cs="Arial"/>
          <w:szCs w:val="24"/>
          <w:lang w:eastAsia="en-GB"/>
        </w:rPr>
        <w:t>advancing equality of opportunity</w:t>
      </w:r>
      <w:r w:rsidR="00107AB4">
        <w:rPr>
          <w:rFonts w:cs="Arial"/>
          <w:szCs w:val="24"/>
          <w:lang w:eastAsia="en-GB"/>
        </w:rPr>
        <w:t xml:space="preserve"> </w:t>
      </w:r>
      <w:r w:rsidR="004A7D2C">
        <w:rPr>
          <w:rFonts w:cs="Arial"/>
          <w:szCs w:val="24"/>
          <w:lang w:eastAsia="en-GB"/>
        </w:rPr>
        <w:t xml:space="preserve">and fostering good relations </w:t>
      </w:r>
      <w:r w:rsidR="000506B1">
        <w:rPr>
          <w:rFonts w:cs="Arial"/>
          <w:szCs w:val="24"/>
          <w:lang w:eastAsia="en-GB"/>
        </w:rPr>
        <w:t xml:space="preserve">between </w:t>
      </w:r>
      <w:r w:rsidR="00107AB4">
        <w:rPr>
          <w:rFonts w:cs="Arial"/>
          <w:szCs w:val="24"/>
          <w:lang w:eastAsia="en-GB"/>
        </w:rPr>
        <w:t xml:space="preserve">persons </w:t>
      </w:r>
      <w:r w:rsidR="000506B1">
        <w:rPr>
          <w:rFonts w:cs="Arial"/>
          <w:szCs w:val="24"/>
          <w:lang w:eastAsia="en-GB"/>
        </w:rPr>
        <w:t xml:space="preserve">who </w:t>
      </w:r>
      <w:r w:rsidR="00CE04D6">
        <w:rPr>
          <w:rFonts w:cs="Arial"/>
          <w:szCs w:val="24"/>
          <w:lang w:eastAsia="en-GB"/>
        </w:rPr>
        <w:t>share</w:t>
      </w:r>
      <w:r w:rsidR="000506B1">
        <w:rPr>
          <w:rFonts w:cs="Arial"/>
          <w:szCs w:val="24"/>
          <w:lang w:eastAsia="en-GB"/>
        </w:rPr>
        <w:t xml:space="preserve"> a relevant</w:t>
      </w:r>
      <w:r w:rsidR="00107AB4">
        <w:rPr>
          <w:rFonts w:cs="Arial"/>
          <w:szCs w:val="24"/>
          <w:lang w:eastAsia="en-GB"/>
        </w:rPr>
        <w:t xml:space="preserve"> </w:t>
      </w:r>
      <w:r w:rsidR="000506B1">
        <w:rPr>
          <w:rFonts w:cs="Arial"/>
          <w:szCs w:val="24"/>
          <w:lang w:eastAsia="en-GB"/>
        </w:rPr>
        <w:t>protected characteristic and those</w:t>
      </w:r>
      <w:r w:rsidR="004A7D2C">
        <w:rPr>
          <w:rFonts w:cs="Arial"/>
          <w:szCs w:val="24"/>
          <w:lang w:eastAsia="en-GB"/>
        </w:rPr>
        <w:t xml:space="preserve"> who do not sh</w:t>
      </w:r>
      <w:r w:rsidR="00CE04D6">
        <w:rPr>
          <w:rFonts w:cs="Arial"/>
          <w:szCs w:val="24"/>
          <w:lang w:eastAsia="en-GB"/>
        </w:rPr>
        <w:t xml:space="preserve">are it. </w:t>
      </w:r>
    </w:p>
    <w:p w14:paraId="60B956E8" w14:textId="0A72AE57" w:rsidR="000506B1" w:rsidRDefault="000506B1" w:rsidP="00F80506">
      <w:pPr>
        <w:autoSpaceDE w:val="0"/>
        <w:autoSpaceDN w:val="0"/>
        <w:adjustRightInd w:val="0"/>
        <w:spacing w:after="240"/>
      </w:pPr>
      <w:r>
        <w:rPr>
          <w:rFonts w:cs="Arial"/>
          <w:szCs w:val="24"/>
          <w:lang w:eastAsia="en-GB"/>
        </w:rPr>
        <w:lastRenderedPageBreak/>
        <w:t>The relevant protected characteristics are age, race, disability, gender</w:t>
      </w:r>
      <w:r w:rsidR="00F80506">
        <w:rPr>
          <w:rFonts w:cs="Arial"/>
          <w:szCs w:val="24"/>
          <w:lang w:eastAsia="en-GB"/>
        </w:rPr>
        <w:t xml:space="preserve"> </w:t>
      </w:r>
      <w:r>
        <w:rPr>
          <w:rFonts w:cs="Arial"/>
          <w:szCs w:val="24"/>
          <w:lang w:eastAsia="en-GB"/>
        </w:rPr>
        <w:t>reassignment, pregnancy and maternity, religion or belief, sex and sexual</w:t>
      </w:r>
      <w:r w:rsidR="00F80506">
        <w:rPr>
          <w:rFonts w:cs="Arial"/>
          <w:szCs w:val="24"/>
          <w:lang w:eastAsia="en-GB"/>
        </w:rPr>
        <w:t xml:space="preserve"> </w:t>
      </w:r>
      <w:r>
        <w:rPr>
          <w:rFonts w:cs="Arial"/>
          <w:szCs w:val="24"/>
          <w:lang w:eastAsia="en-GB"/>
        </w:rPr>
        <w:t xml:space="preserve">orientation. </w:t>
      </w:r>
    </w:p>
    <w:p w14:paraId="71F71D24" w14:textId="5993F35B" w:rsidR="00A320CF" w:rsidRPr="00A320CF" w:rsidRDefault="002C4AD8" w:rsidP="00F80506">
      <w:pPr>
        <w:spacing w:after="240"/>
      </w:pPr>
      <w:r>
        <w:t>The</w:t>
      </w:r>
      <w:r w:rsidR="00335DA5">
        <w:t xml:space="preserve"> pr</w:t>
      </w:r>
      <w:r w:rsidR="00D63AA4">
        <w:t>o</w:t>
      </w:r>
      <w:r w:rsidR="00335DA5">
        <w:t xml:space="preserve">posed project will </w:t>
      </w:r>
      <w:r w:rsidR="00D63AA4">
        <w:t xml:space="preserve">advance equality of opportunity for </w:t>
      </w:r>
      <w:r w:rsidR="00375398">
        <w:t xml:space="preserve">all </w:t>
      </w:r>
      <w:r w:rsidR="00E50724">
        <w:t>and it is considered that</w:t>
      </w:r>
      <w:r w:rsidR="00380851">
        <w:t xml:space="preserve"> the project </w:t>
      </w:r>
      <w:r w:rsidR="002E1189">
        <w:t xml:space="preserve">will not adversely </w:t>
      </w:r>
      <w:r w:rsidR="00083A1A">
        <w:t xml:space="preserve">impact on </w:t>
      </w:r>
      <w:r w:rsidR="006C3FB1">
        <w:t xml:space="preserve">persons within </w:t>
      </w:r>
      <w:r w:rsidR="00375398">
        <w:t>the</w:t>
      </w:r>
      <w:r>
        <w:t xml:space="preserve"> pro</w:t>
      </w:r>
      <w:r w:rsidR="009C57CA">
        <w:t xml:space="preserve">tected </w:t>
      </w:r>
      <w:r w:rsidR="00076AE6">
        <w:t>ch</w:t>
      </w:r>
      <w:r w:rsidR="00F80506">
        <w:t>a</w:t>
      </w:r>
      <w:r w:rsidR="00076AE6">
        <w:t>racteristics</w:t>
      </w:r>
      <w:r w:rsidR="00083A1A">
        <w:t>.</w:t>
      </w:r>
      <w:r w:rsidR="00375398">
        <w:t xml:space="preserve"> </w:t>
      </w:r>
    </w:p>
    <w:p w14:paraId="0E9ED8C5" w14:textId="2F45E3C6" w:rsidR="00333FAA" w:rsidRPr="005E582C" w:rsidRDefault="005E582C" w:rsidP="00CE04D6">
      <w:pPr>
        <w:pStyle w:val="ListParagraph"/>
        <w:numPr>
          <w:ilvl w:val="0"/>
          <w:numId w:val="3"/>
        </w:numPr>
        <w:spacing w:after="120" w:line="259" w:lineRule="auto"/>
        <w:rPr>
          <w:rFonts w:cs="Arial"/>
          <w:b/>
          <w:bCs/>
          <w:u w:val="single"/>
        </w:rPr>
      </w:pPr>
      <w:r w:rsidRPr="005E582C">
        <w:rPr>
          <w:b/>
          <w:bCs/>
          <w:u w:val="single"/>
        </w:rPr>
        <w:t>COUNCIL PRIORITIES</w:t>
      </w:r>
    </w:p>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2602250F" w14:textId="69643B87" w:rsidR="00D07F46" w:rsidRPr="00A975F7" w:rsidRDefault="00D0381E" w:rsidP="00BF206B">
      <w:pPr>
        <w:pStyle w:val="ListParagraph"/>
        <w:numPr>
          <w:ilvl w:val="0"/>
          <w:numId w:val="1"/>
        </w:numPr>
        <w:autoSpaceDE w:val="0"/>
        <w:autoSpaceDN w:val="0"/>
        <w:spacing w:before="240"/>
        <w:rPr>
          <w:b/>
          <w:bCs/>
        </w:rPr>
      </w:pPr>
      <w:r w:rsidRPr="00D0381E">
        <w:rPr>
          <w:b/>
        </w:rPr>
        <w:t>Improving the environment and addressing climate change</w:t>
      </w:r>
    </w:p>
    <w:p w14:paraId="454C8BF9" w14:textId="7AC6AF39" w:rsidR="00A975F7" w:rsidRPr="00AE0185" w:rsidRDefault="000A4947" w:rsidP="00BF206B">
      <w:pPr>
        <w:pStyle w:val="ListParagraph"/>
        <w:numPr>
          <w:ilvl w:val="1"/>
          <w:numId w:val="1"/>
        </w:numPr>
        <w:autoSpaceDE w:val="0"/>
        <w:autoSpaceDN w:val="0"/>
        <w:spacing w:before="240"/>
      </w:pPr>
      <w:r w:rsidRPr="00AE0185">
        <w:t xml:space="preserve">Project contributes to attaining Resource and Waste Strategy targets around zero avoidable waste and </w:t>
      </w:r>
      <w:r w:rsidR="00E67841" w:rsidRPr="00AE0185">
        <w:t>separate food waste collections</w:t>
      </w:r>
    </w:p>
    <w:p w14:paraId="333D24CE" w14:textId="32E0BA91" w:rsidR="00E67841" w:rsidRPr="00AE0185" w:rsidRDefault="00E67841" w:rsidP="00BF206B">
      <w:pPr>
        <w:pStyle w:val="ListParagraph"/>
        <w:numPr>
          <w:ilvl w:val="1"/>
          <w:numId w:val="1"/>
        </w:numPr>
        <w:autoSpaceDE w:val="0"/>
        <w:autoSpaceDN w:val="0"/>
        <w:spacing w:before="240"/>
      </w:pPr>
      <w:r w:rsidRPr="00AE0185">
        <w:t xml:space="preserve">Project also contributes to target of reducing greenhouse emissions by 68% by </w:t>
      </w:r>
      <w:r w:rsidR="00AE0185" w:rsidRPr="00AE0185">
        <w:t>2030</w:t>
      </w:r>
    </w:p>
    <w:p w14:paraId="3B546FEA" w14:textId="30C8018C" w:rsidR="00D07F46" w:rsidRPr="00AE0185" w:rsidRDefault="00D0381E" w:rsidP="00BF206B">
      <w:pPr>
        <w:pStyle w:val="ListParagraph"/>
        <w:numPr>
          <w:ilvl w:val="0"/>
          <w:numId w:val="1"/>
        </w:numPr>
        <w:autoSpaceDE w:val="0"/>
        <w:autoSpaceDN w:val="0"/>
        <w:spacing w:before="240"/>
        <w:rPr>
          <w:b/>
          <w:bCs/>
        </w:rPr>
      </w:pPr>
      <w:r w:rsidRPr="00D0381E">
        <w:rPr>
          <w:b/>
        </w:rPr>
        <w:t>Tackling poverty and inequality</w:t>
      </w:r>
    </w:p>
    <w:p w14:paraId="03F02138" w14:textId="5F00CB3E" w:rsidR="00AE0185" w:rsidRPr="00AE0185" w:rsidRDefault="00AE0185" w:rsidP="00BF206B">
      <w:pPr>
        <w:pStyle w:val="ListParagraph"/>
        <w:numPr>
          <w:ilvl w:val="1"/>
          <w:numId w:val="1"/>
        </w:numPr>
        <w:autoSpaceDE w:val="0"/>
        <w:autoSpaceDN w:val="0"/>
        <w:spacing w:before="240"/>
        <w:rPr>
          <w:bCs/>
        </w:rPr>
      </w:pPr>
      <w:r w:rsidRPr="00AE0185">
        <w:rPr>
          <w:bCs/>
        </w:rPr>
        <w:t>The project looks to ensure all properties within the Borough have access to separate food waste recycling collections</w:t>
      </w:r>
    </w:p>
    <w:p w14:paraId="31563814" w14:textId="79DA3778" w:rsidR="00D07F46" w:rsidRPr="00437BE6" w:rsidRDefault="00D0381E" w:rsidP="00BF206B">
      <w:pPr>
        <w:pStyle w:val="ListParagraph"/>
        <w:numPr>
          <w:ilvl w:val="0"/>
          <w:numId w:val="1"/>
        </w:numPr>
        <w:autoSpaceDE w:val="0"/>
        <w:autoSpaceDN w:val="0"/>
        <w:spacing w:before="240"/>
        <w:rPr>
          <w:b/>
          <w:bCs/>
        </w:rPr>
      </w:pPr>
      <w:r w:rsidRPr="00D0381E">
        <w:rPr>
          <w:b/>
        </w:rPr>
        <w:t>Building homes and infrastructure</w:t>
      </w:r>
    </w:p>
    <w:p w14:paraId="438EE1F7" w14:textId="16C12F24" w:rsidR="00437BE6" w:rsidRPr="00C62FCD" w:rsidRDefault="00437BE6" w:rsidP="00BF206B">
      <w:pPr>
        <w:pStyle w:val="ListParagraph"/>
        <w:numPr>
          <w:ilvl w:val="1"/>
          <w:numId w:val="1"/>
        </w:numPr>
        <w:autoSpaceDE w:val="0"/>
        <w:autoSpaceDN w:val="0"/>
        <w:spacing w:before="240"/>
        <w:rPr>
          <w:bCs/>
        </w:rPr>
      </w:pPr>
      <w:r w:rsidRPr="00C62FCD">
        <w:rPr>
          <w:bCs/>
        </w:rPr>
        <w:t xml:space="preserve">The project looks to improve the bin store infrastructure within existing </w:t>
      </w:r>
      <w:r w:rsidR="00C62FCD" w:rsidRPr="00C62FCD">
        <w:rPr>
          <w:bCs/>
        </w:rPr>
        <w:t>communal properties</w:t>
      </w:r>
    </w:p>
    <w:p w14:paraId="53B22976" w14:textId="49A6C1A9" w:rsidR="00D07F46" w:rsidRDefault="00D0381E" w:rsidP="00BF206B">
      <w:pPr>
        <w:pStyle w:val="ListParagraph"/>
        <w:numPr>
          <w:ilvl w:val="0"/>
          <w:numId w:val="1"/>
        </w:numPr>
        <w:autoSpaceDE w:val="0"/>
        <w:autoSpaceDN w:val="0"/>
        <w:spacing w:before="240"/>
        <w:rPr>
          <w:b/>
        </w:rPr>
      </w:pPr>
      <w:r w:rsidRPr="00D0381E">
        <w:rPr>
          <w:b/>
        </w:rPr>
        <w:t>Addressing health and social care inequality</w:t>
      </w:r>
    </w:p>
    <w:p w14:paraId="1D605254" w14:textId="4CE2635E" w:rsidR="00C62FCD" w:rsidRPr="00234FB8" w:rsidRDefault="00C62FCD" w:rsidP="00BF206B">
      <w:pPr>
        <w:pStyle w:val="ListParagraph"/>
        <w:numPr>
          <w:ilvl w:val="1"/>
          <w:numId w:val="1"/>
        </w:numPr>
        <w:autoSpaceDE w:val="0"/>
        <w:autoSpaceDN w:val="0"/>
        <w:spacing w:before="240"/>
        <w:rPr>
          <w:bCs/>
        </w:rPr>
      </w:pPr>
      <w:r w:rsidRPr="00234FB8">
        <w:rPr>
          <w:bCs/>
        </w:rPr>
        <w:t xml:space="preserve">Recycling positively contributes to better air quality via </w:t>
      </w:r>
      <w:r w:rsidR="00234FB8" w:rsidRPr="00234FB8">
        <w:rPr>
          <w:bCs/>
        </w:rPr>
        <w:t>reducing greenhouse emissions, which in turn provides a better quality of health for residents</w:t>
      </w:r>
    </w:p>
    <w:p w14:paraId="74ED77AB" w14:textId="77777777" w:rsidR="00307F76" w:rsidRPr="00D0381E" w:rsidRDefault="00D0381E" w:rsidP="00BF206B">
      <w:pPr>
        <w:pStyle w:val="ListParagraph"/>
        <w:numPr>
          <w:ilvl w:val="0"/>
          <w:numId w:val="1"/>
        </w:numPr>
        <w:autoSpaceDE w:val="0"/>
        <w:autoSpaceDN w:val="0"/>
        <w:spacing w:before="240"/>
        <w:rPr>
          <w:b/>
        </w:rPr>
      </w:pPr>
      <w:r w:rsidRPr="00D0381E">
        <w:rPr>
          <w:b/>
        </w:rPr>
        <w:t>Thriving economy</w:t>
      </w:r>
    </w:p>
    <w:p w14:paraId="7EFD9797" w14:textId="77777777" w:rsidR="00BF206B" w:rsidRDefault="00BF206B">
      <w:pPr>
        <w:rPr>
          <w:rFonts w:ascii="Arial Black" w:hAnsi="Arial Black" w:cs="Arial"/>
          <w:b/>
          <w:bCs/>
          <w:sz w:val="32"/>
          <w:szCs w:val="32"/>
        </w:rPr>
      </w:pPr>
      <w:r>
        <w:br w:type="page"/>
      </w:r>
    </w:p>
    <w:p w14:paraId="5514D939" w14:textId="0431A117" w:rsidR="00333FAA" w:rsidRDefault="00333FAA" w:rsidP="000B7C66">
      <w:pPr>
        <w:pStyle w:val="Heading2"/>
        <w:spacing w:before="480" w:after="240"/>
      </w:pPr>
      <w:r>
        <w:lastRenderedPageBreak/>
        <w:t>Section 3 - Statutory Officer Clearance</w:t>
      </w:r>
    </w:p>
    <w:p w14:paraId="3B5D52F9" w14:textId="292CFBEC" w:rsidR="00A66326" w:rsidRPr="00A66326" w:rsidRDefault="00A66326" w:rsidP="00A66326">
      <w:pPr>
        <w:rPr>
          <w:sz w:val="28"/>
        </w:rPr>
      </w:pPr>
      <w:r w:rsidRPr="00A66326">
        <w:rPr>
          <w:b/>
          <w:sz w:val="28"/>
        </w:rPr>
        <w:t xml:space="preserve">Statutory Officer:  </w:t>
      </w:r>
      <w:r w:rsidR="002967F1" w:rsidRPr="002967F1">
        <w:rPr>
          <w:bCs/>
          <w:sz w:val="28"/>
        </w:rPr>
        <w:t>Dawn Calvert</w:t>
      </w:r>
    </w:p>
    <w:p w14:paraId="06450070" w14:textId="3DC94F59" w:rsidR="00A66326" w:rsidRPr="00A66326" w:rsidRDefault="00A66326" w:rsidP="00A66326">
      <w:r w:rsidRPr="00A66326">
        <w:t>Signed by the Chief Financial Officer</w:t>
      </w:r>
    </w:p>
    <w:p w14:paraId="33977AD6" w14:textId="77777777" w:rsidR="00A66326" w:rsidRPr="00A66326" w:rsidRDefault="00A66326" w:rsidP="00A66326">
      <w:pPr>
        <w:rPr>
          <w:sz w:val="28"/>
        </w:rPr>
      </w:pPr>
    </w:p>
    <w:p w14:paraId="555021EF" w14:textId="4FAA82E0" w:rsidR="00A66326" w:rsidRPr="00A66326" w:rsidRDefault="00A66326" w:rsidP="00A66326">
      <w:pPr>
        <w:spacing w:after="480"/>
        <w:rPr>
          <w:sz w:val="28"/>
        </w:rPr>
      </w:pPr>
      <w:r w:rsidRPr="00A66326">
        <w:rPr>
          <w:b/>
          <w:sz w:val="28"/>
        </w:rPr>
        <w:t xml:space="preserve">Date: </w:t>
      </w:r>
      <w:r w:rsidR="00B05CEE" w:rsidRPr="00B05CEE">
        <w:rPr>
          <w:bCs/>
          <w:sz w:val="28"/>
        </w:rPr>
        <w:t>09/04/2021</w:t>
      </w:r>
      <w:r w:rsidRPr="00A66326">
        <w:rPr>
          <w:b/>
          <w:sz w:val="28"/>
        </w:rPr>
        <w:t xml:space="preserve"> </w:t>
      </w:r>
    </w:p>
    <w:p w14:paraId="7E329E85" w14:textId="55964F92" w:rsidR="00A66326" w:rsidRPr="00A66326" w:rsidRDefault="00A66326" w:rsidP="00A66326">
      <w:pPr>
        <w:rPr>
          <w:sz w:val="28"/>
        </w:rPr>
      </w:pPr>
      <w:r w:rsidRPr="00A66326">
        <w:rPr>
          <w:b/>
          <w:sz w:val="28"/>
        </w:rPr>
        <w:t xml:space="preserve">Statutory Officer:  </w:t>
      </w:r>
      <w:r w:rsidR="00F80506" w:rsidRPr="00F80506">
        <w:rPr>
          <w:bCs/>
          <w:sz w:val="28"/>
        </w:rPr>
        <w:t>Abiodun Kolawole</w:t>
      </w:r>
    </w:p>
    <w:p w14:paraId="76F84634" w14:textId="59A1B208" w:rsidR="00A66326" w:rsidRPr="00A66326" w:rsidRDefault="00A66326" w:rsidP="00A66326">
      <w:r w:rsidRPr="00A66326">
        <w:t>Signed on behalf of the Monitoring Officer</w:t>
      </w:r>
    </w:p>
    <w:p w14:paraId="76E71941" w14:textId="77777777" w:rsidR="00A66326" w:rsidRPr="00A66326" w:rsidRDefault="00A66326" w:rsidP="00A66326">
      <w:pPr>
        <w:rPr>
          <w:sz w:val="28"/>
        </w:rPr>
      </w:pPr>
    </w:p>
    <w:p w14:paraId="1AC0D358" w14:textId="271E1F02" w:rsidR="00A66326" w:rsidRPr="003313EA" w:rsidRDefault="00A66326" w:rsidP="00A66326">
      <w:pPr>
        <w:spacing w:after="480"/>
        <w:rPr>
          <w:sz w:val="28"/>
        </w:rPr>
      </w:pPr>
      <w:r w:rsidRPr="00A66326">
        <w:rPr>
          <w:b/>
          <w:sz w:val="28"/>
        </w:rPr>
        <w:t xml:space="preserve">Date: </w:t>
      </w:r>
      <w:r w:rsidR="00F80506" w:rsidRPr="00F80506">
        <w:rPr>
          <w:bCs/>
          <w:sz w:val="28"/>
        </w:rPr>
        <w:t>12/05/2021</w:t>
      </w:r>
      <w:r w:rsidRPr="00A66326">
        <w:rPr>
          <w:b/>
          <w:sz w:val="28"/>
        </w:rPr>
        <w:t xml:space="preserve"> </w:t>
      </w:r>
    </w:p>
    <w:p w14:paraId="31D8FA55" w14:textId="17E16EC0" w:rsidR="00BF5AFA" w:rsidRPr="00A66326" w:rsidRDefault="00BF5AFA" w:rsidP="00BF5AFA">
      <w:pPr>
        <w:rPr>
          <w:sz w:val="28"/>
        </w:rPr>
      </w:pPr>
      <w:r>
        <w:rPr>
          <w:b/>
          <w:sz w:val="28"/>
        </w:rPr>
        <w:t>Chief</w:t>
      </w:r>
      <w:r w:rsidRPr="00A66326">
        <w:rPr>
          <w:b/>
          <w:sz w:val="28"/>
        </w:rPr>
        <w:t xml:space="preserve"> Officer:  </w:t>
      </w:r>
      <w:r w:rsidR="0082794A" w:rsidRPr="0082794A">
        <w:rPr>
          <w:bCs/>
          <w:sz w:val="28"/>
        </w:rPr>
        <w:t>Paul Walker</w:t>
      </w:r>
    </w:p>
    <w:p w14:paraId="6C086558" w14:textId="6DDEDC59" w:rsidR="00BF5AFA" w:rsidRPr="00A66326" w:rsidRDefault="00BF5AFA" w:rsidP="00BF5AFA">
      <w:r w:rsidRPr="00A66326">
        <w:t xml:space="preserve">Signed </w:t>
      </w:r>
      <w:r>
        <w:t>off by the Corporate Director</w:t>
      </w:r>
    </w:p>
    <w:p w14:paraId="34A60057" w14:textId="77777777" w:rsidR="00BF5AFA" w:rsidRPr="00A66326" w:rsidRDefault="00BF5AFA" w:rsidP="00BF5AFA">
      <w:pPr>
        <w:rPr>
          <w:sz w:val="28"/>
        </w:rPr>
      </w:pPr>
    </w:p>
    <w:p w14:paraId="5F67CDF0" w14:textId="251B733E" w:rsidR="00BF5AFA" w:rsidRPr="00A66326" w:rsidRDefault="00BF5AFA" w:rsidP="00BF5AFA">
      <w:pPr>
        <w:spacing w:after="480"/>
        <w:rPr>
          <w:sz w:val="28"/>
        </w:rPr>
      </w:pPr>
      <w:r w:rsidRPr="00A66326">
        <w:rPr>
          <w:b/>
          <w:sz w:val="28"/>
        </w:rPr>
        <w:t xml:space="preserve">Date:  </w:t>
      </w:r>
      <w:r w:rsidR="0082794A" w:rsidRPr="0082794A">
        <w:rPr>
          <w:bCs/>
          <w:sz w:val="28"/>
        </w:rPr>
        <w:t>08/04/2021</w:t>
      </w:r>
    </w:p>
    <w:p w14:paraId="2C546334" w14:textId="5EF9616F" w:rsidR="00BF5AFA" w:rsidRPr="00A66326" w:rsidRDefault="00BF5AFA" w:rsidP="00BF5AFA">
      <w:pPr>
        <w:rPr>
          <w:sz w:val="28"/>
        </w:rPr>
      </w:pPr>
      <w:r>
        <w:rPr>
          <w:b/>
          <w:sz w:val="28"/>
        </w:rPr>
        <w:t>Head of Procurement</w:t>
      </w:r>
      <w:r w:rsidRPr="00A66326">
        <w:rPr>
          <w:b/>
          <w:sz w:val="28"/>
        </w:rPr>
        <w:t xml:space="preserve">:  </w:t>
      </w:r>
      <w:r w:rsidR="00A57A54" w:rsidRPr="00A57A54">
        <w:rPr>
          <w:bCs/>
          <w:sz w:val="28"/>
        </w:rPr>
        <w:t>Nimesh Mehta</w:t>
      </w:r>
    </w:p>
    <w:p w14:paraId="794DD2A1" w14:textId="49C78239" w:rsidR="00BF5AFA" w:rsidRPr="00A57A54" w:rsidRDefault="00BF5AFA" w:rsidP="00A57A54">
      <w:r w:rsidRPr="00A66326">
        <w:t xml:space="preserve">Signed by the </w:t>
      </w:r>
      <w:r>
        <w:t>Head of Procurement</w:t>
      </w:r>
    </w:p>
    <w:p w14:paraId="399669DE" w14:textId="77777777" w:rsidR="00BF5AFA" w:rsidRPr="00A66326" w:rsidRDefault="00BF5AFA" w:rsidP="00BF5AFA">
      <w:pPr>
        <w:rPr>
          <w:sz w:val="28"/>
        </w:rPr>
      </w:pPr>
    </w:p>
    <w:p w14:paraId="5A683B65" w14:textId="17C5176E" w:rsidR="00BF5AFA" w:rsidRPr="003313EA" w:rsidRDefault="00BF5AFA" w:rsidP="00BF5AFA">
      <w:pPr>
        <w:spacing w:after="480"/>
        <w:rPr>
          <w:sz w:val="28"/>
        </w:rPr>
      </w:pPr>
      <w:r w:rsidRPr="00A66326">
        <w:rPr>
          <w:b/>
          <w:sz w:val="28"/>
        </w:rPr>
        <w:t xml:space="preserve">Date:  </w:t>
      </w:r>
      <w:r w:rsidR="00A57A54" w:rsidRPr="00A57A54">
        <w:rPr>
          <w:bCs/>
          <w:sz w:val="28"/>
        </w:rPr>
        <w:t>08/04/2021</w:t>
      </w:r>
    </w:p>
    <w:p w14:paraId="113297A5" w14:textId="6F4AE2F9" w:rsidR="00BF5AFA" w:rsidRPr="00A66326" w:rsidRDefault="00BF5AFA" w:rsidP="00BF5AFA">
      <w:pPr>
        <w:rPr>
          <w:sz w:val="28"/>
        </w:rPr>
      </w:pPr>
      <w:r>
        <w:rPr>
          <w:b/>
          <w:sz w:val="28"/>
        </w:rPr>
        <w:t>Head of Internal Audit</w:t>
      </w:r>
      <w:r w:rsidRPr="00A66326">
        <w:rPr>
          <w:b/>
          <w:sz w:val="28"/>
        </w:rPr>
        <w:t xml:space="preserve">:  </w:t>
      </w:r>
      <w:r w:rsidR="00EA29D8" w:rsidRPr="00EA29D8">
        <w:rPr>
          <w:bCs/>
          <w:sz w:val="28"/>
        </w:rPr>
        <w:t>Susan Dixson</w:t>
      </w:r>
    </w:p>
    <w:p w14:paraId="5CF04A24" w14:textId="0D9F8604" w:rsidR="00BF5AFA" w:rsidRPr="00A66326" w:rsidRDefault="00BF5AFA" w:rsidP="00BF5AFA">
      <w:r w:rsidRPr="00A66326">
        <w:t xml:space="preserve">Signed by the </w:t>
      </w:r>
      <w:r>
        <w:t>Head of Internal Audit</w:t>
      </w:r>
    </w:p>
    <w:p w14:paraId="3B1CEB5F" w14:textId="77777777" w:rsidR="00BF5AFA" w:rsidRPr="00A66326" w:rsidRDefault="00BF5AFA" w:rsidP="00BF5AFA">
      <w:pPr>
        <w:rPr>
          <w:sz w:val="28"/>
        </w:rPr>
      </w:pPr>
    </w:p>
    <w:p w14:paraId="065BF29C" w14:textId="27E6D62C" w:rsidR="00BF5AFA" w:rsidRPr="00EA29D8" w:rsidRDefault="00BF5AFA" w:rsidP="00BF5AFA">
      <w:pPr>
        <w:pStyle w:val="Heading2"/>
        <w:spacing w:after="240"/>
        <w:rPr>
          <w:b w:val="0"/>
          <w:bCs w:val="0"/>
        </w:rPr>
      </w:pPr>
      <w:r w:rsidRPr="00EA29D8">
        <w:rPr>
          <w:rFonts w:ascii="Arial" w:hAnsi="Arial"/>
          <w:sz w:val="28"/>
        </w:rPr>
        <w:t>Date:</w:t>
      </w:r>
      <w:r w:rsidR="00EA29D8">
        <w:rPr>
          <w:sz w:val="28"/>
        </w:rPr>
        <w:t xml:space="preserve"> </w:t>
      </w:r>
      <w:r w:rsidR="00EA29D8" w:rsidRPr="00EA29D8">
        <w:rPr>
          <w:rFonts w:ascii="Arial" w:hAnsi="Arial"/>
          <w:b w:val="0"/>
          <w:bCs w:val="0"/>
          <w:sz w:val="28"/>
        </w:rPr>
        <w:t>28/04/2021</w:t>
      </w:r>
    </w:p>
    <w:p w14:paraId="45A19EC7" w14:textId="59434FDF" w:rsidR="003313EA" w:rsidRPr="00435B5D" w:rsidRDefault="003313EA" w:rsidP="00BF5AFA">
      <w:pPr>
        <w:pStyle w:val="Heading2"/>
        <w:spacing w:before="480" w:after="240"/>
      </w:pPr>
      <w:r>
        <w:t>Mandatory Checks</w:t>
      </w:r>
    </w:p>
    <w:p w14:paraId="64551188" w14:textId="3BE4FC6E"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E8E750F" w14:textId="01D7B8A2" w:rsidR="003313EA" w:rsidRPr="003313EA" w:rsidRDefault="003313EA" w:rsidP="00A53B04">
      <w:pPr>
        <w:pStyle w:val="Infotext"/>
        <w:rPr>
          <w:i/>
          <w:color w:val="FF0000"/>
          <w:sz w:val="24"/>
          <w:szCs w:val="24"/>
        </w:rPr>
      </w:pPr>
      <w:r w:rsidRPr="003313EA">
        <w:rPr>
          <w:i/>
          <w:color w:val="FF0000"/>
          <w:sz w:val="24"/>
          <w:szCs w:val="24"/>
        </w:rPr>
        <w:t xml:space="preserve"> </w:t>
      </w:r>
    </w:p>
    <w:p w14:paraId="2A2D9472" w14:textId="7E0A74D6"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0A33C08F" w14:textId="1904AEEA" w:rsidR="006B2556" w:rsidRPr="006B2556" w:rsidRDefault="006B2556" w:rsidP="003313EA">
      <w:pPr>
        <w:pStyle w:val="Infotext"/>
        <w:rPr>
          <w:sz w:val="24"/>
          <w:szCs w:val="18"/>
        </w:rPr>
      </w:pPr>
      <w:r w:rsidRPr="006B2556">
        <w:rPr>
          <w:sz w:val="24"/>
          <w:szCs w:val="18"/>
        </w:rPr>
        <w:t>There are no adverse impacts on equality as a result of this report as the project is about current service improvement and there are no substantial service changes or introduction of new services.</w:t>
      </w:r>
    </w:p>
    <w:p w14:paraId="27CB15BA" w14:textId="77777777" w:rsidR="00F80506" w:rsidRDefault="00F80506">
      <w:pPr>
        <w:rPr>
          <w:rFonts w:ascii="Arial Black" w:hAnsi="Arial Black" w:cs="Arial"/>
          <w:b/>
          <w:bCs/>
          <w:sz w:val="32"/>
          <w:szCs w:val="32"/>
        </w:rPr>
      </w:pPr>
      <w:r>
        <w:br w:type="page"/>
      </w:r>
    </w:p>
    <w:p w14:paraId="41E16C55" w14:textId="0CE0D153"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3D66E7AE" w14:textId="77777777" w:rsidR="009D488D" w:rsidRDefault="00333FAA" w:rsidP="00CC18AC">
      <w:pPr>
        <w:pStyle w:val="Infotext"/>
        <w:spacing w:after="240"/>
        <w:rPr>
          <w:b/>
        </w:rPr>
      </w:pPr>
      <w:r w:rsidRPr="004E47FC">
        <w:rPr>
          <w:b/>
        </w:rPr>
        <w:t xml:space="preserve">Contact: </w:t>
      </w:r>
      <w:bookmarkStart w:id="4" w:name="_GoBack"/>
      <w:bookmarkEnd w:id="4"/>
    </w:p>
    <w:p w14:paraId="6B6ADB2C" w14:textId="3455EC94" w:rsidR="009D488D" w:rsidRPr="009D488D" w:rsidRDefault="009D488D" w:rsidP="00CC18AC">
      <w:pPr>
        <w:pStyle w:val="Infotext"/>
        <w:spacing w:after="240"/>
        <w:rPr>
          <w:bCs/>
          <w:color w:val="FF0000"/>
          <w:sz w:val="24"/>
          <w:szCs w:val="18"/>
        </w:rPr>
      </w:pPr>
      <w:r w:rsidRPr="009D488D">
        <w:rPr>
          <w:bCs/>
          <w:sz w:val="24"/>
          <w:szCs w:val="18"/>
        </w:rPr>
        <w:t>Rebecca Johnson - Head of Strategy, Development and Performance</w:t>
      </w:r>
      <w:r w:rsidR="006E4564">
        <w:rPr>
          <w:bCs/>
          <w:sz w:val="24"/>
          <w:szCs w:val="18"/>
        </w:rPr>
        <w:t xml:space="preserve">, </w:t>
      </w:r>
      <w:hyperlink r:id="rId14" w:history="1">
        <w:r w:rsidRPr="009D488D">
          <w:rPr>
            <w:rStyle w:val="Hyperlink"/>
            <w:bCs/>
            <w:sz w:val="24"/>
            <w:szCs w:val="18"/>
          </w:rPr>
          <w:t>Rebecca.johnson@harrow.gov.uk</w:t>
        </w:r>
      </w:hyperlink>
      <w:r w:rsidRPr="009D488D">
        <w:rPr>
          <w:bCs/>
          <w:sz w:val="24"/>
          <w:szCs w:val="18"/>
        </w:rPr>
        <w:t xml:space="preserve"> </w:t>
      </w:r>
    </w:p>
    <w:p w14:paraId="5643A7F9" w14:textId="2F47C3F5" w:rsidR="005718B5" w:rsidRPr="00842757" w:rsidRDefault="00333FAA" w:rsidP="00026E27">
      <w:pPr>
        <w:pStyle w:val="Infotext"/>
        <w:spacing w:after="240"/>
        <w:rPr>
          <w:rFonts w:ascii="Calibri" w:hAnsi="Calibri"/>
          <w:szCs w:val="24"/>
          <w:lang w:eastAsia="en-GB"/>
        </w:rPr>
      </w:pPr>
      <w:r w:rsidRPr="004E47FC">
        <w:rPr>
          <w:b/>
        </w:rPr>
        <w:t xml:space="preserve">Background Papers: </w:t>
      </w:r>
      <w:r w:rsidR="00026E27" w:rsidRPr="00026E27">
        <w:rPr>
          <w:bCs/>
          <w:sz w:val="24"/>
          <w:szCs w:val="18"/>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64F18D8D" w:rsidR="00842757" w:rsidRDefault="00842757" w:rsidP="00842757">
      <w:pPr>
        <w:pStyle w:val="Infotext"/>
        <w:spacing w:before="240"/>
      </w:pPr>
      <w:r w:rsidRPr="003D78F6">
        <w:rPr>
          <w:b/>
        </w:rPr>
        <w:t xml:space="preserve">NO </w:t>
      </w:r>
    </w:p>
    <w:sectPr w:rsidR="00842757"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B1D0" w14:textId="77777777" w:rsidR="003B2578" w:rsidRDefault="003B2578">
      <w:r>
        <w:separator/>
      </w:r>
    </w:p>
  </w:endnote>
  <w:endnote w:type="continuationSeparator" w:id="0">
    <w:p w14:paraId="1104930F" w14:textId="77777777" w:rsidR="003B2578" w:rsidRDefault="003B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8E8B" w14:textId="77777777" w:rsidR="003B2578" w:rsidRDefault="003B2578">
      <w:r>
        <w:separator/>
      </w:r>
    </w:p>
  </w:footnote>
  <w:footnote w:type="continuationSeparator" w:id="0">
    <w:p w14:paraId="2434B165" w14:textId="77777777" w:rsidR="003B2578" w:rsidRDefault="003B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09"/>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B6376"/>
    <w:multiLevelType w:val="hybridMultilevel"/>
    <w:tmpl w:val="D11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41645"/>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AA5D65"/>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117BC4"/>
    <w:multiLevelType w:val="multilevel"/>
    <w:tmpl w:val="A7AE2D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2C81C86"/>
    <w:multiLevelType w:val="hybridMultilevel"/>
    <w:tmpl w:val="D40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26208"/>
    <w:multiLevelType w:val="multilevel"/>
    <w:tmpl w:val="47B07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B264F1"/>
    <w:multiLevelType w:val="multilevel"/>
    <w:tmpl w:val="0584FFA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0339CE"/>
    <w:multiLevelType w:val="hybridMultilevel"/>
    <w:tmpl w:val="C31C93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008FB"/>
    <w:multiLevelType w:val="hybridMultilevel"/>
    <w:tmpl w:val="82D6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7"/>
  </w:num>
  <w:num w:numId="6">
    <w:abstractNumId w:val="11"/>
  </w:num>
  <w:num w:numId="7">
    <w:abstractNumId w:val="10"/>
  </w:num>
  <w:num w:numId="8">
    <w:abstractNumId w:val="4"/>
  </w:num>
  <w:num w:numId="9">
    <w:abstractNumId w:val="8"/>
  </w:num>
  <w:num w:numId="10">
    <w:abstractNumId w:val="3"/>
  </w:num>
  <w:num w:numId="11">
    <w:abstractNumId w:val="0"/>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42EA"/>
    <w:rsid w:val="00021016"/>
    <w:rsid w:val="00026E27"/>
    <w:rsid w:val="00031B5B"/>
    <w:rsid w:val="0003461A"/>
    <w:rsid w:val="00035B3F"/>
    <w:rsid w:val="0004029A"/>
    <w:rsid w:val="000474E3"/>
    <w:rsid w:val="000506B1"/>
    <w:rsid w:val="00052320"/>
    <w:rsid w:val="0005370F"/>
    <w:rsid w:val="00055A90"/>
    <w:rsid w:val="0006034E"/>
    <w:rsid w:val="000625B8"/>
    <w:rsid w:val="00063783"/>
    <w:rsid w:val="00073765"/>
    <w:rsid w:val="00074D47"/>
    <w:rsid w:val="00076AE6"/>
    <w:rsid w:val="00083A1A"/>
    <w:rsid w:val="000929A6"/>
    <w:rsid w:val="00095FA1"/>
    <w:rsid w:val="000A057E"/>
    <w:rsid w:val="000A4947"/>
    <w:rsid w:val="000A7489"/>
    <w:rsid w:val="000B09FF"/>
    <w:rsid w:val="000B5015"/>
    <w:rsid w:val="000B788F"/>
    <w:rsid w:val="000B7C66"/>
    <w:rsid w:val="000C48A5"/>
    <w:rsid w:val="000D24C5"/>
    <w:rsid w:val="000D4E36"/>
    <w:rsid w:val="000E62FE"/>
    <w:rsid w:val="000F2324"/>
    <w:rsid w:val="00105B8A"/>
    <w:rsid w:val="00107AB4"/>
    <w:rsid w:val="00113470"/>
    <w:rsid w:val="001161E4"/>
    <w:rsid w:val="001221B7"/>
    <w:rsid w:val="00125A26"/>
    <w:rsid w:val="001402E6"/>
    <w:rsid w:val="001429B2"/>
    <w:rsid w:val="001472A8"/>
    <w:rsid w:val="0015376F"/>
    <w:rsid w:val="00153FAA"/>
    <w:rsid w:val="001614E0"/>
    <w:rsid w:val="001633CC"/>
    <w:rsid w:val="00171BD8"/>
    <w:rsid w:val="0017412F"/>
    <w:rsid w:val="0017653E"/>
    <w:rsid w:val="00182B01"/>
    <w:rsid w:val="001840D2"/>
    <w:rsid w:val="00190BF8"/>
    <w:rsid w:val="001966D7"/>
    <w:rsid w:val="001A2139"/>
    <w:rsid w:val="001A3479"/>
    <w:rsid w:val="001B2D8B"/>
    <w:rsid w:val="001C4D2E"/>
    <w:rsid w:val="001C7E35"/>
    <w:rsid w:val="001D4594"/>
    <w:rsid w:val="001D6825"/>
    <w:rsid w:val="001E3C06"/>
    <w:rsid w:val="001E6607"/>
    <w:rsid w:val="001F0037"/>
    <w:rsid w:val="001F0BE9"/>
    <w:rsid w:val="00202D79"/>
    <w:rsid w:val="00202E04"/>
    <w:rsid w:val="00205053"/>
    <w:rsid w:val="00205D2F"/>
    <w:rsid w:val="0020719F"/>
    <w:rsid w:val="00214849"/>
    <w:rsid w:val="00215E8F"/>
    <w:rsid w:val="00221A93"/>
    <w:rsid w:val="002322BB"/>
    <w:rsid w:val="0023285C"/>
    <w:rsid w:val="00234FB8"/>
    <w:rsid w:val="002419C5"/>
    <w:rsid w:val="0024496A"/>
    <w:rsid w:val="00250A1C"/>
    <w:rsid w:val="00251254"/>
    <w:rsid w:val="00251E2E"/>
    <w:rsid w:val="002548D1"/>
    <w:rsid w:val="00256AA4"/>
    <w:rsid w:val="002602B3"/>
    <w:rsid w:val="00260A43"/>
    <w:rsid w:val="00263068"/>
    <w:rsid w:val="00271ABA"/>
    <w:rsid w:val="0027283B"/>
    <w:rsid w:val="00280062"/>
    <w:rsid w:val="0028019B"/>
    <w:rsid w:val="00282E73"/>
    <w:rsid w:val="00283CAB"/>
    <w:rsid w:val="0028525A"/>
    <w:rsid w:val="00293B30"/>
    <w:rsid w:val="002957C6"/>
    <w:rsid w:val="002967F1"/>
    <w:rsid w:val="002A3FEF"/>
    <w:rsid w:val="002A458D"/>
    <w:rsid w:val="002B54A6"/>
    <w:rsid w:val="002C1700"/>
    <w:rsid w:val="002C4AD8"/>
    <w:rsid w:val="002C7BCE"/>
    <w:rsid w:val="002D6B63"/>
    <w:rsid w:val="002E1189"/>
    <w:rsid w:val="002E2BD9"/>
    <w:rsid w:val="002E67C9"/>
    <w:rsid w:val="002F3EE9"/>
    <w:rsid w:val="00301922"/>
    <w:rsid w:val="00307F76"/>
    <w:rsid w:val="00321FBB"/>
    <w:rsid w:val="00323AA4"/>
    <w:rsid w:val="00330355"/>
    <w:rsid w:val="003313EA"/>
    <w:rsid w:val="00333FAA"/>
    <w:rsid w:val="003355D7"/>
    <w:rsid w:val="00335DA5"/>
    <w:rsid w:val="003361DE"/>
    <w:rsid w:val="00352558"/>
    <w:rsid w:val="0036201C"/>
    <w:rsid w:val="00372E5A"/>
    <w:rsid w:val="00375398"/>
    <w:rsid w:val="00375BA5"/>
    <w:rsid w:val="00376768"/>
    <w:rsid w:val="003800A9"/>
    <w:rsid w:val="0038054A"/>
    <w:rsid w:val="00380851"/>
    <w:rsid w:val="00380F87"/>
    <w:rsid w:val="003A162B"/>
    <w:rsid w:val="003A60B6"/>
    <w:rsid w:val="003B01C6"/>
    <w:rsid w:val="003B2578"/>
    <w:rsid w:val="003B3B36"/>
    <w:rsid w:val="003B7CD6"/>
    <w:rsid w:val="003B7F30"/>
    <w:rsid w:val="003C270D"/>
    <w:rsid w:val="003C4BB4"/>
    <w:rsid w:val="003E1BCC"/>
    <w:rsid w:val="003F05F8"/>
    <w:rsid w:val="003F200F"/>
    <w:rsid w:val="003F3AFD"/>
    <w:rsid w:val="0040637C"/>
    <w:rsid w:val="004076C8"/>
    <w:rsid w:val="00413D4F"/>
    <w:rsid w:val="004170BC"/>
    <w:rsid w:val="004207E3"/>
    <w:rsid w:val="00421A4C"/>
    <w:rsid w:val="00421DC1"/>
    <w:rsid w:val="004238C2"/>
    <w:rsid w:val="0042797C"/>
    <w:rsid w:val="00435B5D"/>
    <w:rsid w:val="004363F7"/>
    <w:rsid w:val="00437019"/>
    <w:rsid w:val="00437BE6"/>
    <w:rsid w:val="00443FC4"/>
    <w:rsid w:val="0044525C"/>
    <w:rsid w:val="00446DDE"/>
    <w:rsid w:val="004553F1"/>
    <w:rsid w:val="00462305"/>
    <w:rsid w:val="00467FBE"/>
    <w:rsid w:val="00471C1F"/>
    <w:rsid w:val="004759F3"/>
    <w:rsid w:val="004809FA"/>
    <w:rsid w:val="004908F0"/>
    <w:rsid w:val="004951A6"/>
    <w:rsid w:val="004A48C6"/>
    <w:rsid w:val="004A7D2C"/>
    <w:rsid w:val="004B444E"/>
    <w:rsid w:val="004B7004"/>
    <w:rsid w:val="004C091C"/>
    <w:rsid w:val="004C2D09"/>
    <w:rsid w:val="004C4A75"/>
    <w:rsid w:val="004D1370"/>
    <w:rsid w:val="004D20FC"/>
    <w:rsid w:val="004D27AE"/>
    <w:rsid w:val="004D2DA0"/>
    <w:rsid w:val="004D51C6"/>
    <w:rsid w:val="004D6831"/>
    <w:rsid w:val="004D73AC"/>
    <w:rsid w:val="004E14A4"/>
    <w:rsid w:val="004E74C1"/>
    <w:rsid w:val="004F2D7D"/>
    <w:rsid w:val="004F5447"/>
    <w:rsid w:val="004F54BD"/>
    <w:rsid w:val="004F56C5"/>
    <w:rsid w:val="00506185"/>
    <w:rsid w:val="005268FA"/>
    <w:rsid w:val="00535194"/>
    <w:rsid w:val="005354D0"/>
    <w:rsid w:val="00537633"/>
    <w:rsid w:val="0054172C"/>
    <w:rsid w:val="005440E3"/>
    <w:rsid w:val="0054590F"/>
    <w:rsid w:val="005459EC"/>
    <w:rsid w:val="00550FF4"/>
    <w:rsid w:val="00551855"/>
    <w:rsid w:val="00555285"/>
    <w:rsid w:val="0057064C"/>
    <w:rsid w:val="005718B5"/>
    <w:rsid w:val="00575AF0"/>
    <w:rsid w:val="0057637F"/>
    <w:rsid w:val="005808FB"/>
    <w:rsid w:val="005811F8"/>
    <w:rsid w:val="00582605"/>
    <w:rsid w:val="00585D47"/>
    <w:rsid w:val="00591016"/>
    <w:rsid w:val="005A7E50"/>
    <w:rsid w:val="005B074E"/>
    <w:rsid w:val="005B3F67"/>
    <w:rsid w:val="005D46C8"/>
    <w:rsid w:val="005D548F"/>
    <w:rsid w:val="005D6EF5"/>
    <w:rsid w:val="005E1CE3"/>
    <w:rsid w:val="005E3A10"/>
    <w:rsid w:val="005E582C"/>
    <w:rsid w:val="005E7509"/>
    <w:rsid w:val="005F7840"/>
    <w:rsid w:val="00601D7F"/>
    <w:rsid w:val="00605A4C"/>
    <w:rsid w:val="0061019C"/>
    <w:rsid w:val="00614229"/>
    <w:rsid w:val="00616A59"/>
    <w:rsid w:val="0062251F"/>
    <w:rsid w:val="00626F75"/>
    <w:rsid w:val="006276E4"/>
    <w:rsid w:val="00636C12"/>
    <w:rsid w:val="00645B8B"/>
    <w:rsid w:val="00646FCC"/>
    <w:rsid w:val="006527DD"/>
    <w:rsid w:val="00652B95"/>
    <w:rsid w:val="0065471F"/>
    <w:rsid w:val="00655044"/>
    <w:rsid w:val="00666922"/>
    <w:rsid w:val="00670A05"/>
    <w:rsid w:val="00670F17"/>
    <w:rsid w:val="006710C7"/>
    <w:rsid w:val="00674987"/>
    <w:rsid w:val="006751F1"/>
    <w:rsid w:val="00691D25"/>
    <w:rsid w:val="00692843"/>
    <w:rsid w:val="00696A83"/>
    <w:rsid w:val="006A42B8"/>
    <w:rsid w:val="006A58D2"/>
    <w:rsid w:val="006B0457"/>
    <w:rsid w:val="006B2556"/>
    <w:rsid w:val="006B2AE2"/>
    <w:rsid w:val="006C3968"/>
    <w:rsid w:val="006C3FB1"/>
    <w:rsid w:val="006C580A"/>
    <w:rsid w:val="006C79E5"/>
    <w:rsid w:val="006D1E69"/>
    <w:rsid w:val="006E4564"/>
    <w:rsid w:val="006E4C75"/>
    <w:rsid w:val="006E6618"/>
    <w:rsid w:val="006F057C"/>
    <w:rsid w:val="006F22DA"/>
    <w:rsid w:val="006F2EB3"/>
    <w:rsid w:val="00702209"/>
    <w:rsid w:val="00706B25"/>
    <w:rsid w:val="007116B1"/>
    <w:rsid w:val="00711DEB"/>
    <w:rsid w:val="00713387"/>
    <w:rsid w:val="00714BEE"/>
    <w:rsid w:val="00721215"/>
    <w:rsid w:val="007400CF"/>
    <w:rsid w:val="00740D96"/>
    <w:rsid w:val="0074649E"/>
    <w:rsid w:val="00746D5D"/>
    <w:rsid w:val="007474EE"/>
    <w:rsid w:val="00753B39"/>
    <w:rsid w:val="00777792"/>
    <w:rsid w:val="00782A67"/>
    <w:rsid w:val="007A2A57"/>
    <w:rsid w:val="007A6DE2"/>
    <w:rsid w:val="007B23FC"/>
    <w:rsid w:val="007D0C1D"/>
    <w:rsid w:val="007D2000"/>
    <w:rsid w:val="007D4DBF"/>
    <w:rsid w:val="007E4732"/>
    <w:rsid w:val="007E4BA4"/>
    <w:rsid w:val="007F004E"/>
    <w:rsid w:val="007F335A"/>
    <w:rsid w:val="00803104"/>
    <w:rsid w:val="00812901"/>
    <w:rsid w:val="00826B9A"/>
    <w:rsid w:val="0082794A"/>
    <w:rsid w:val="00833C51"/>
    <w:rsid w:val="00840702"/>
    <w:rsid w:val="00842757"/>
    <w:rsid w:val="00843CC2"/>
    <w:rsid w:val="00844917"/>
    <w:rsid w:val="0085266D"/>
    <w:rsid w:val="008532D7"/>
    <w:rsid w:val="00861B89"/>
    <w:rsid w:val="008674E9"/>
    <w:rsid w:val="008709C8"/>
    <w:rsid w:val="00876054"/>
    <w:rsid w:val="0089028D"/>
    <w:rsid w:val="00894FC0"/>
    <w:rsid w:val="008A02D5"/>
    <w:rsid w:val="008A5AA0"/>
    <w:rsid w:val="008B3737"/>
    <w:rsid w:val="008B528E"/>
    <w:rsid w:val="008E224D"/>
    <w:rsid w:val="008E59FC"/>
    <w:rsid w:val="008F3BF7"/>
    <w:rsid w:val="008F40FA"/>
    <w:rsid w:val="009054F5"/>
    <w:rsid w:val="00917FAF"/>
    <w:rsid w:val="0092530B"/>
    <w:rsid w:val="00927BAB"/>
    <w:rsid w:val="00933967"/>
    <w:rsid w:val="009341A6"/>
    <w:rsid w:val="00934CDD"/>
    <w:rsid w:val="0094208C"/>
    <w:rsid w:val="00942F17"/>
    <w:rsid w:val="00943236"/>
    <w:rsid w:val="00952CEF"/>
    <w:rsid w:val="00955421"/>
    <w:rsid w:val="00970B72"/>
    <w:rsid w:val="0097310F"/>
    <w:rsid w:val="0098609C"/>
    <w:rsid w:val="00990E9C"/>
    <w:rsid w:val="00992472"/>
    <w:rsid w:val="00993E91"/>
    <w:rsid w:val="00994542"/>
    <w:rsid w:val="00994908"/>
    <w:rsid w:val="009A754D"/>
    <w:rsid w:val="009B160B"/>
    <w:rsid w:val="009B2148"/>
    <w:rsid w:val="009C237B"/>
    <w:rsid w:val="009C57CA"/>
    <w:rsid w:val="009D318C"/>
    <w:rsid w:val="009D488D"/>
    <w:rsid w:val="009E5A93"/>
    <w:rsid w:val="009E6829"/>
    <w:rsid w:val="009F3154"/>
    <w:rsid w:val="009F5A53"/>
    <w:rsid w:val="009F68DC"/>
    <w:rsid w:val="00A1211C"/>
    <w:rsid w:val="00A141B2"/>
    <w:rsid w:val="00A20113"/>
    <w:rsid w:val="00A20D78"/>
    <w:rsid w:val="00A2215F"/>
    <w:rsid w:val="00A22839"/>
    <w:rsid w:val="00A23E19"/>
    <w:rsid w:val="00A320CF"/>
    <w:rsid w:val="00A325C9"/>
    <w:rsid w:val="00A33185"/>
    <w:rsid w:val="00A36774"/>
    <w:rsid w:val="00A37973"/>
    <w:rsid w:val="00A53B04"/>
    <w:rsid w:val="00A56BBB"/>
    <w:rsid w:val="00A57A54"/>
    <w:rsid w:val="00A63234"/>
    <w:rsid w:val="00A643D6"/>
    <w:rsid w:val="00A65C3E"/>
    <w:rsid w:val="00A661F4"/>
    <w:rsid w:val="00A66326"/>
    <w:rsid w:val="00A708D3"/>
    <w:rsid w:val="00A7271A"/>
    <w:rsid w:val="00A74D79"/>
    <w:rsid w:val="00A81E19"/>
    <w:rsid w:val="00A926C9"/>
    <w:rsid w:val="00A9723B"/>
    <w:rsid w:val="00A975F7"/>
    <w:rsid w:val="00AA16DC"/>
    <w:rsid w:val="00AA3D56"/>
    <w:rsid w:val="00AB18EF"/>
    <w:rsid w:val="00AB795F"/>
    <w:rsid w:val="00AC260B"/>
    <w:rsid w:val="00AC6312"/>
    <w:rsid w:val="00AC6412"/>
    <w:rsid w:val="00AD1E77"/>
    <w:rsid w:val="00AD6D80"/>
    <w:rsid w:val="00AE0185"/>
    <w:rsid w:val="00AF769B"/>
    <w:rsid w:val="00B03F80"/>
    <w:rsid w:val="00B05CEE"/>
    <w:rsid w:val="00B10D61"/>
    <w:rsid w:val="00B1160D"/>
    <w:rsid w:val="00B139FB"/>
    <w:rsid w:val="00B20185"/>
    <w:rsid w:val="00B30263"/>
    <w:rsid w:val="00B3621C"/>
    <w:rsid w:val="00B424B8"/>
    <w:rsid w:val="00B444E6"/>
    <w:rsid w:val="00B44DC6"/>
    <w:rsid w:val="00B52011"/>
    <w:rsid w:val="00B53EFF"/>
    <w:rsid w:val="00B54AFA"/>
    <w:rsid w:val="00B671A4"/>
    <w:rsid w:val="00B76C5D"/>
    <w:rsid w:val="00B77F84"/>
    <w:rsid w:val="00B804E8"/>
    <w:rsid w:val="00B919E6"/>
    <w:rsid w:val="00BA55E3"/>
    <w:rsid w:val="00BB17EB"/>
    <w:rsid w:val="00BC0104"/>
    <w:rsid w:val="00BC206C"/>
    <w:rsid w:val="00BC431A"/>
    <w:rsid w:val="00BC51AC"/>
    <w:rsid w:val="00BC7190"/>
    <w:rsid w:val="00BD3490"/>
    <w:rsid w:val="00BE580E"/>
    <w:rsid w:val="00BF077C"/>
    <w:rsid w:val="00BF206B"/>
    <w:rsid w:val="00BF5AFA"/>
    <w:rsid w:val="00C01A35"/>
    <w:rsid w:val="00C02A81"/>
    <w:rsid w:val="00C03772"/>
    <w:rsid w:val="00C04EDA"/>
    <w:rsid w:val="00C1024F"/>
    <w:rsid w:val="00C119A2"/>
    <w:rsid w:val="00C227B1"/>
    <w:rsid w:val="00C257B5"/>
    <w:rsid w:val="00C53F1A"/>
    <w:rsid w:val="00C554BB"/>
    <w:rsid w:val="00C57267"/>
    <w:rsid w:val="00C616FF"/>
    <w:rsid w:val="00C62B63"/>
    <w:rsid w:val="00C62FCD"/>
    <w:rsid w:val="00C63352"/>
    <w:rsid w:val="00C6495A"/>
    <w:rsid w:val="00C66F49"/>
    <w:rsid w:val="00C72806"/>
    <w:rsid w:val="00C72B5B"/>
    <w:rsid w:val="00C73557"/>
    <w:rsid w:val="00C86702"/>
    <w:rsid w:val="00C869F3"/>
    <w:rsid w:val="00CA1C38"/>
    <w:rsid w:val="00CA4666"/>
    <w:rsid w:val="00CB43F8"/>
    <w:rsid w:val="00CC153E"/>
    <w:rsid w:val="00CC18AC"/>
    <w:rsid w:val="00CC5A16"/>
    <w:rsid w:val="00CD7D5D"/>
    <w:rsid w:val="00CE04D6"/>
    <w:rsid w:val="00CE4E79"/>
    <w:rsid w:val="00CF0621"/>
    <w:rsid w:val="00CF0FC4"/>
    <w:rsid w:val="00CF5BF8"/>
    <w:rsid w:val="00CF6932"/>
    <w:rsid w:val="00D01FE3"/>
    <w:rsid w:val="00D0381E"/>
    <w:rsid w:val="00D06CA3"/>
    <w:rsid w:val="00D07F46"/>
    <w:rsid w:val="00D170E5"/>
    <w:rsid w:val="00D25B4D"/>
    <w:rsid w:val="00D3458C"/>
    <w:rsid w:val="00D377C1"/>
    <w:rsid w:val="00D378AC"/>
    <w:rsid w:val="00D37F2F"/>
    <w:rsid w:val="00D415B9"/>
    <w:rsid w:val="00D528E8"/>
    <w:rsid w:val="00D54141"/>
    <w:rsid w:val="00D60F48"/>
    <w:rsid w:val="00D63AA4"/>
    <w:rsid w:val="00D72156"/>
    <w:rsid w:val="00D7468D"/>
    <w:rsid w:val="00D771D0"/>
    <w:rsid w:val="00D81CF4"/>
    <w:rsid w:val="00D835CF"/>
    <w:rsid w:val="00D9043E"/>
    <w:rsid w:val="00D9141D"/>
    <w:rsid w:val="00D941A8"/>
    <w:rsid w:val="00DA176F"/>
    <w:rsid w:val="00DA26FB"/>
    <w:rsid w:val="00DA36BE"/>
    <w:rsid w:val="00DA37ED"/>
    <w:rsid w:val="00DA65A3"/>
    <w:rsid w:val="00DB68F3"/>
    <w:rsid w:val="00DB6C3D"/>
    <w:rsid w:val="00DB6EF3"/>
    <w:rsid w:val="00DC01B5"/>
    <w:rsid w:val="00DC5ACF"/>
    <w:rsid w:val="00DD1A07"/>
    <w:rsid w:val="00DD3573"/>
    <w:rsid w:val="00DD4AD3"/>
    <w:rsid w:val="00DD7468"/>
    <w:rsid w:val="00DE25E9"/>
    <w:rsid w:val="00DE71D3"/>
    <w:rsid w:val="00DE72CF"/>
    <w:rsid w:val="00DF08A0"/>
    <w:rsid w:val="00DF4F40"/>
    <w:rsid w:val="00E0358B"/>
    <w:rsid w:val="00E12774"/>
    <w:rsid w:val="00E12C5E"/>
    <w:rsid w:val="00E13BEF"/>
    <w:rsid w:val="00E21F3D"/>
    <w:rsid w:val="00E25487"/>
    <w:rsid w:val="00E30354"/>
    <w:rsid w:val="00E372FE"/>
    <w:rsid w:val="00E479AC"/>
    <w:rsid w:val="00E50724"/>
    <w:rsid w:val="00E55E3C"/>
    <w:rsid w:val="00E56159"/>
    <w:rsid w:val="00E65B2E"/>
    <w:rsid w:val="00E67841"/>
    <w:rsid w:val="00E70760"/>
    <w:rsid w:val="00E74A7C"/>
    <w:rsid w:val="00E77A7B"/>
    <w:rsid w:val="00E9253C"/>
    <w:rsid w:val="00E92F32"/>
    <w:rsid w:val="00E96A3B"/>
    <w:rsid w:val="00EA29D8"/>
    <w:rsid w:val="00EB2B2F"/>
    <w:rsid w:val="00EB3B7F"/>
    <w:rsid w:val="00EB3CF0"/>
    <w:rsid w:val="00EB45B5"/>
    <w:rsid w:val="00EB5E57"/>
    <w:rsid w:val="00EB61DB"/>
    <w:rsid w:val="00EC6134"/>
    <w:rsid w:val="00ED1AD0"/>
    <w:rsid w:val="00ED4AFD"/>
    <w:rsid w:val="00ED6776"/>
    <w:rsid w:val="00EE3EEE"/>
    <w:rsid w:val="00EE4FBE"/>
    <w:rsid w:val="00F038A1"/>
    <w:rsid w:val="00F06E4E"/>
    <w:rsid w:val="00F113AB"/>
    <w:rsid w:val="00F1346D"/>
    <w:rsid w:val="00F14592"/>
    <w:rsid w:val="00F238E0"/>
    <w:rsid w:val="00F309EE"/>
    <w:rsid w:val="00F339F8"/>
    <w:rsid w:val="00F34532"/>
    <w:rsid w:val="00F509A1"/>
    <w:rsid w:val="00F51E01"/>
    <w:rsid w:val="00F53B15"/>
    <w:rsid w:val="00F5649A"/>
    <w:rsid w:val="00F67DC5"/>
    <w:rsid w:val="00F754E5"/>
    <w:rsid w:val="00F80506"/>
    <w:rsid w:val="00F82342"/>
    <w:rsid w:val="00F84C83"/>
    <w:rsid w:val="00F877DB"/>
    <w:rsid w:val="00F91AE4"/>
    <w:rsid w:val="00F93C8B"/>
    <w:rsid w:val="00F9435C"/>
    <w:rsid w:val="00F959DD"/>
    <w:rsid w:val="00F960D5"/>
    <w:rsid w:val="00FB1231"/>
    <w:rsid w:val="00FC1C5C"/>
    <w:rsid w:val="00FC7C93"/>
    <w:rsid w:val="00FE17E2"/>
    <w:rsid w:val="00FE2A04"/>
    <w:rsid w:val="00FE375E"/>
    <w:rsid w:val="00FE3D32"/>
    <w:rsid w:val="00FE563D"/>
    <w:rsid w:val="00FF6E4B"/>
    <w:rsid w:val="32959AF1"/>
    <w:rsid w:val="49CFD7D8"/>
    <w:rsid w:val="55DAD3D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character" w:styleId="CommentReference">
    <w:name w:val="annotation reference"/>
    <w:basedOn w:val="DefaultParagraphFont"/>
    <w:semiHidden/>
    <w:unhideWhenUsed/>
    <w:rsid w:val="00D377C1"/>
    <w:rPr>
      <w:sz w:val="16"/>
      <w:szCs w:val="16"/>
    </w:rPr>
  </w:style>
  <w:style w:type="paragraph" w:styleId="CommentText">
    <w:name w:val="annotation text"/>
    <w:basedOn w:val="Normal"/>
    <w:link w:val="CommentTextChar"/>
    <w:semiHidden/>
    <w:unhideWhenUsed/>
    <w:rsid w:val="00D377C1"/>
    <w:rPr>
      <w:sz w:val="20"/>
    </w:rPr>
  </w:style>
  <w:style w:type="character" w:customStyle="1" w:styleId="CommentTextChar">
    <w:name w:val="Comment Text Char"/>
    <w:basedOn w:val="DefaultParagraphFont"/>
    <w:link w:val="CommentText"/>
    <w:semiHidden/>
    <w:rsid w:val="00D377C1"/>
    <w:rPr>
      <w:rFonts w:ascii="Arial" w:hAnsi="Arial"/>
      <w:lang w:eastAsia="en-US"/>
    </w:rPr>
  </w:style>
  <w:style w:type="paragraph" w:styleId="CommentSubject">
    <w:name w:val="annotation subject"/>
    <w:basedOn w:val="CommentText"/>
    <w:next w:val="CommentText"/>
    <w:link w:val="CommentSubjectChar"/>
    <w:semiHidden/>
    <w:unhideWhenUsed/>
    <w:rsid w:val="00D377C1"/>
    <w:rPr>
      <w:b/>
      <w:bCs/>
    </w:rPr>
  </w:style>
  <w:style w:type="character" w:customStyle="1" w:styleId="CommentSubjectChar">
    <w:name w:val="Comment Subject Char"/>
    <w:basedOn w:val="CommentTextChar"/>
    <w:link w:val="CommentSubject"/>
    <w:semiHidden/>
    <w:rsid w:val="00D377C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character" w:styleId="CommentReference">
    <w:name w:val="annotation reference"/>
    <w:basedOn w:val="DefaultParagraphFont"/>
    <w:semiHidden/>
    <w:unhideWhenUsed/>
    <w:rsid w:val="00D377C1"/>
    <w:rPr>
      <w:sz w:val="16"/>
      <w:szCs w:val="16"/>
    </w:rPr>
  </w:style>
  <w:style w:type="paragraph" w:styleId="CommentText">
    <w:name w:val="annotation text"/>
    <w:basedOn w:val="Normal"/>
    <w:link w:val="CommentTextChar"/>
    <w:semiHidden/>
    <w:unhideWhenUsed/>
    <w:rsid w:val="00D377C1"/>
    <w:rPr>
      <w:sz w:val="20"/>
    </w:rPr>
  </w:style>
  <w:style w:type="character" w:customStyle="1" w:styleId="CommentTextChar">
    <w:name w:val="Comment Text Char"/>
    <w:basedOn w:val="DefaultParagraphFont"/>
    <w:link w:val="CommentText"/>
    <w:semiHidden/>
    <w:rsid w:val="00D377C1"/>
    <w:rPr>
      <w:rFonts w:ascii="Arial" w:hAnsi="Arial"/>
      <w:lang w:eastAsia="en-US"/>
    </w:rPr>
  </w:style>
  <w:style w:type="paragraph" w:styleId="CommentSubject">
    <w:name w:val="annotation subject"/>
    <w:basedOn w:val="CommentText"/>
    <w:next w:val="CommentText"/>
    <w:link w:val="CommentSubjectChar"/>
    <w:semiHidden/>
    <w:unhideWhenUsed/>
    <w:rsid w:val="00D377C1"/>
    <w:rPr>
      <w:b/>
      <w:bCs/>
    </w:rPr>
  </w:style>
  <w:style w:type="character" w:customStyle="1" w:styleId="CommentSubjectChar">
    <w:name w:val="Comment Subject Char"/>
    <w:basedOn w:val="CommentTextChar"/>
    <w:link w:val="CommentSubject"/>
    <w:semiHidden/>
    <w:rsid w:val="00D377C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becca.johns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580578B58344490EB8EB93E461CEA" ma:contentTypeVersion="4" ma:contentTypeDescription="Create a new document." ma:contentTypeScope="" ma:versionID="769b112fd919d951dfe6b8be899b8163">
  <xsd:schema xmlns:xsd="http://www.w3.org/2001/XMLSchema" xmlns:xs="http://www.w3.org/2001/XMLSchema" xmlns:p="http://schemas.microsoft.com/office/2006/metadata/properties" xmlns:ns3="bd9abb55-e49f-44e7-a271-680f3903bc4a" targetNamespace="http://schemas.microsoft.com/office/2006/metadata/properties" ma:root="true" ma:fieldsID="3ba80deebe2100c2e750be8efaf21115" ns3:_="">
    <xsd:import namespace="bd9abb55-e49f-44e7-a271-680f3903b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abb55-e49f-44e7-a271-680f3903b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2BC6-4304-4238-804D-F9271B6B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abb55-e49f-44e7-a271-680f3903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38382816-B699-440F-B576-E1815418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2710</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4</cp:revision>
  <cp:lastPrinted>2014-10-31T16:34:00Z</cp:lastPrinted>
  <dcterms:created xsi:type="dcterms:W3CDTF">2021-05-12T15:16:00Z</dcterms:created>
  <dcterms:modified xsi:type="dcterms:W3CDTF">2021-05-19T14:55:00Z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0x01010000A580578B58344490EB8EB93E461CEA</vt:lpwstr>
  </property>
  <property fmtid="{D5CDD505-2E9C-101B-9397-08002B2CF9AE}" pid="3" name="TaxKeyword">
    <vt:lpwstr>108;#Cabinet Report Template|b79b58f4-03f4-47dd-bec7-7bae4bc4af23</vt:lpwstr>
  </property>
</Properties>
</file>